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9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Президент РФ поручил включить материалы о геноциде советского народа нацистами и их пособниками в годы Великой Отечественной войны в федеральные основные общеобразовательные программы, а также в соответствующие учебные издания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числе прочего, должно быть организовано изучение лицами, обу</w:t>
      </w:r>
      <w:r>
        <w:rPr>
          <w:rFonts w:ascii="Times New Roman" w:hAnsi="Times New Roman" w:cs="Times New Roman"/>
          <w:sz w:val="28"/>
          <w:szCs w:val="28"/>
        </w:rPr>
        <w:t xml:space="preserve">чающимися по основным профессиональным образовательным программам по направлениям подготовки и специальностям в области образования и педагогики, курса по освещению преступлений нацизма в XX - XXI веках в рамках обучения технологиям ведения классных часов.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Установлены обстоятельства, при которых решение о достройке проблемных новостроек может быть изменено на решение о выплате компенсации дольщикам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решение может быть принято Фондом развития территорий при наличии одного из установленных обстоятельств, например: истек срок действия договора ар</w:t>
      </w:r>
      <w:r>
        <w:rPr>
          <w:rFonts w:ascii="Times New Roman" w:hAnsi="Times New Roman" w:cs="Times New Roman"/>
          <w:sz w:val="28"/>
          <w:szCs w:val="28"/>
        </w:rPr>
        <w:t xml:space="preserve">енды земельного участка, на котором расположен объект незавершенного строительства; вступило в силу решение суда о признании объекта самовольной постройкой; отсутствует техническая возможность подключения объекта к сетям инженерно-технического обеспечения.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Принятое решение граждане вправе оспаривать в арбитражном суде, рассматривающем дело о банкротстве застройщика, а при прекращении производства по делу о банкротстве - в суде общей юрисдикции.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Уточнено также, что выплата возмещен</w:t>
      </w:r>
      <w:r>
        <w:rPr>
          <w:rFonts w:ascii="Times New Roman" w:hAnsi="Times New Roman" w:cs="Times New Roman"/>
          <w:sz w:val="28"/>
          <w:szCs w:val="28"/>
        </w:rPr>
        <w:t xml:space="preserve">ия гражданину - члену кооператива по требованиям, предусматривающим передачу машино-мест и нежилых помещений, осуществляется в размере уплаченной цены в отношении одного машино-места и (или) одного нежилого помещения в объекте незавершенного строительства.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положения закона предусматривают определение порядка использования средств компенсационных фондов, зачисленных на специальные банковские счета национальных объединений СРО, в целях снижения негативных последствий введения санкционных мер.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За мобилизованными гражданами закреплено преимущественное право приема на ранее занимаемую должность после прохождения военной службы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статью 351.7 Трудового кодекса РФ внесены изменения, согласно которым лицо, призванное на военную службу по мобилизации, заключившее контракт либо добровольно содействующее в выполнении задач, возложенных на Вооруженные С</w:t>
      </w:r>
      <w:r>
        <w:rPr>
          <w:rFonts w:ascii="Times New Roman" w:hAnsi="Times New Roman" w:cs="Times New Roman"/>
          <w:sz w:val="28"/>
          <w:szCs w:val="28"/>
        </w:rPr>
        <w:t xml:space="preserve">илы РФ, в течение трех месяцев после окончания прохождения военной службы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тексту закона, такое преимущественное право предоставлено лицам, с которыми приостановленный трудовой договор был расторгнут в связи с истечением срока его действия.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</w:t>
      </w:r>
      <w:r>
        <w:rPr>
          <w:rFonts w:ascii="Times New Roman" w:hAnsi="Times New Roman" w:cs="Times New Roman"/>
          <w:sz w:val="28"/>
          <w:szCs w:val="28"/>
        </w:rPr>
        <w:t xml:space="preserve">вия подходящей вакансии лицо имеет преимущественное право поступления на другую вакантную должность или работу, соответствующую его квалификации, а если такие вакантные должности отсутствуют - на вакантную нижестоящую должность или нижеоплачиваемую работу.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законом в Трудовом кодексе РФ закреплена обязанность работодателя обеспечить за свой счет доставку работников, осуществляющих работу вахтовым способом, до места выполнения работы и обратно.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вступает в силу со дня е</w:t>
      </w:r>
      <w:r>
        <w:rPr>
          <w:rFonts w:ascii="Times New Roman" w:hAnsi="Times New Roman" w:cs="Times New Roman"/>
          <w:sz w:val="28"/>
          <w:szCs w:val="28"/>
        </w:rPr>
        <w:t xml:space="preserve">го официального опубликования, за исключением положения, для которого предусмотрен иной срок его вступления в силу. Действие положений части двенадцатой статьи 351.7 Трудового кодекса РФ распространяется на правоотношения, возникшие с 21 сентября 2022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Минпросвещения утвердило федеральную образовательную программу начального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три раздела - целевой, содержательный и организационный.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программы, </w:t>
      </w:r>
      <w:r>
        <w:rPr>
          <w:rFonts w:ascii="Times New Roman" w:hAnsi="Times New Roman" w:cs="Times New Roman"/>
          <w:sz w:val="28"/>
          <w:szCs w:val="28"/>
        </w:rPr>
        <w:t xml:space="preserve">а также способы определения достижения этих целей и результатов. Содержательный раздел включает федеральные рабочие программы учебных предметов, программу формирования универсальных учебных действий у обучающихся и федеральную рабочую программу воспитания.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раздел включает федеральный учебн</w:t>
      </w:r>
      <w:r>
        <w:rPr>
          <w:rFonts w:ascii="Times New Roman" w:hAnsi="Times New Roman" w:cs="Times New Roman"/>
          <w:sz w:val="28"/>
          <w:szCs w:val="28"/>
        </w:rPr>
        <w:t xml:space="preserve">ый план, федеральный план внеурочной деятельности, календарный учебных график и 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основной образовательной программы начального общего образования образовательная организация предусматривает непосредственное применение федеральных рабочих программ по русскому языку, литературному чтению и 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Утверждена федеральная образовательная программа 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три раздела - целевой, содержательный и организационный.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программы, </w:t>
      </w:r>
      <w:r>
        <w:rPr>
          <w:rFonts w:ascii="Times New Roman" w:hAnsi="Times New Roman" w:cs="Times New Roman"/>
          <w:sz w:val="28"/>
          <w:szCs w:val="28"/>
        </w:rPr>
        <w:t xml:space="preserve">а также способы определения достижения этих целей и результатов. Содержательный раздел включает федеральные рабочие программы учебных предметов, программу формирования универсальных учебных действий у обучающихся и федеральную рабочую программу воспитания.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раздел включает федеральный учебн</w:t>
      </w:r>
      <w:r>
        <w:rPr>
          <w:rFonts w:ascii="Times New Roman" w:hAnsi="Times New Roman" w:cs="Times New Roman"/>
          <w:sz w:val="28"/>
          <w:szCs w:val="28"/>
        </w:rPr>
        <w:t xml:space="preserve">ый план, федеральный план внеурочной деятельности, календарный учебный график и 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основной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программы основного общего образования образовательная организация предусматривает непосредственное применение федеральных рабочих программ по русскому языку, литературе, истории, обществознанию, географии и основам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Hlk123027396"/>
      <w:r>
        <w:rPr>
          <w:rFonts w:ascii="Times New Roman" w:hAnsi="Times New Roman" w:cs="Times New Roman"/>
          <w:b/>
          <w:sz w:val="28"/>
          <w:szCs w:val="28"/>
        </w:rPr>
        <w:t xml:space="preserve"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Утверждена федеральная образовательная программа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Программа содержит три раздела - целевой, содержательный и организационный.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про</w:t>
      </w:r>
      <w:r>
        <w:rPr>
          <w:rFonts w:ascii="Times New Roman" w:hAnsi="Times New Roman" w:cs="Times New Roman"/>
          <w:sz w:val="28"/>
          <w:szCs w:val="28"/>
        </w:rPr>
        <w:t xml:space="preserve">граммы, а также способы определения достижения этих результатов. Содержательный раздел включает федеральные рабочие программы учебных предметов, программу формирования универсальных учебных действий у обучающихся и федеральную рабочую программу воспитания.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раздел включает федеральный учебный план, федеральный план внеурочной деятельности, календарный учебных график и календарный план воспитательной работы.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основной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программы среднего общего образования образовательная организация предусматривает непосредственное применение федеральных рабочих программ по русскому языку, литературе, истории, обществознанию, географии и основам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9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Задолженность по алиментам может быть погашена другими лицами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Погашение задолженности может быть произведено не только лицом, совершившим преступление, но и по его прос</w:t>
      </w:r>
      <w:r>
        <w:rPr>
          <w:rFonts w:ascii="Times New Roman" w:hAnsi="Times New Roman" w:cs="Times New Roman"/>
          <w:sz w:val="28"/>
          <w:szCs w:val="28"/>
        </w:rPr>
        <w:t xml:space="preserve">ьбе (с его согласия) другими лицами. Обещания, а также различного рода обязательства лица, совершившего преступление, погасить задолженность в будущем не являются обстоятельствами, дающими основание для освобождения этого лица от уголовной ответственности.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Покупка продуктов, дарение вещей, оплата расх</w:t>
      </w:r>
      <w:r>
        <w:rPr>
          <w:rFonts w:ascii="Times New Roman" w:hAnsi="Times New Roman" w:cs="Times New Roman"/>
          <w:sz w:val="28"/>
          <w:szCs w:val="28"/>
        </w:rPr>
        <w:t xml:space="preserve">одов, если такие действия не носили постоянного характера и не свидетельствовали о нахождении ребенка или нетрудоспособных родителей на иждивении у лица, обязанного уплачивать алименты, не освобождают его от обязанности уплачивать алименты в полном объеме.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Уголовная ответственность по статье 157 УК РФ наступает только в тех случа</w:t>
      </w:r>
      <w:r>
        <w:rPr>
          <w:rFonts w:ascii="Times New Roman" w:hAnsi="Times New Roman" w:cs="Times New Roman"/>
          <w:sz w:val="28"/>
          <w:szCs w:val="28"/>
        </w:rPr>
        <w:t xml:space="preserve">ях, когда лицо имело реальную возможность выплачивать алименты, но умышленно уклонялось от исполнения возложенной на него обязанности, в том числе производило платежи в размере менее установленного судебным актом или нотариально удостоверенным соглашением,</w:t>
      </w:r>
      <w:r>
        <w:rPr>
          <w:rFonts w:ascii="Times New Roman" w:hAnsi="Times New Roman" w:cs="Times New Roman"/>
          <w:sz w:val="28"/>
          <w:szCs w:val="28"/>
        </w:rPr>
        <w:t xml:space="preserve"> например, нерегулярные или незначительные платежи. Если же невыполнение им алиментных обязательств было связано с наличием причин, которые признаны судом уважительными, то данные деяния не образуют состава преступления, предусмотренного статьей 157 УК РФ.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Судам рекомендовано при рассмотрении уголовных дел о преступлениях, предусмотренных частями 1 и 2 статьи 157 УК РФ, учитывать разъяснения, содержащиеся в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овлении Пленума Верховного Суда РФ от 27 апреля 2021 года N 6 "О некоторых вопросах, возникающих в судебной практике при рассмотрении дел об административных правонарушениях, связанных с неуплатой средств на содержание детей или нетрудоспособных родителей"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49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9"/>
        <w:ind w:right="-2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8. Граждан предпенсионного возраста уравняли в правах при определении размера пособия по безработице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гражданам предоставлено равное право на получение пособия по безработице с учетом того максимального размера, который установлен для данной категории лиц на соответствующий календарный год, независимо от даты признания таких граждан безработными.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принят во исполнение Постановления Конституционного Суда РФ от 17 м</w:t>
      </w:r>
      <w:r>
        <w:rPr>
          <w:rFonts w:ascii="Times New Roman" w:hAnsi="Times New Roman" w:cs="Times New Roman"/>
          <w:sz w:val="28"/>
          <w:szCs w:val="28"/>
        </w:rPr>
        <w:t xml:space="preserve">арта 2022 года N 11-П, признавшего часть 1 статьи 10 Федерального закона от 3 октября 2018 года N 350-ФЗ "О внесении изменений в отдельные законодательные акты Российской Федерации по вопросам назначения и выплаты пенсий" не соответствующей Конституции РФ.</w:t>
      </w:r>
      <w:r/>
    </w:p>
    <w:p>
      <w:pPr>
        <w:pStyle w:val="649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При наличии медицинских противопоказаний гражданину может быть отказано в социальном обслуживании не только в стационаре, но также на дому и в полустационарной форме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отказ допускается при наличии соответствующего заключения уполномоченной медицинской организации. Перечень медицинских противопоказаний утвержд</w:t>
      </w:r>
      <w:r>
        <w:rPr>
          <w:rFonts w:ascii="Times New Roman" w:hAnsi="Times New Roman" w:cs="Times New Roman"/>
          <w:sz w:val="28"/>
          <w:szCs w:val="28"/>
        </w:rPr>
        <w:t xml:space="preserve">ен приказом Минздрава России от 29 апреля 2015 года N 216н. К таким заболеваниям относятся: туберкулез, острые инфекционные заболевания, психические расстройства, тяжелые хронические заболевания кожи с множественными высыпаниями и обильным отделяемым и др.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поставщики социальных услуг информируют медицинскую организацию по месту жительства гражданина о н</w:t>
      </w:r>
      <w:r>
        <w:rPr>
          <w:rFonts w:ascii="Times New Roman" w:hAnsi="Times New Roman" w:cs="Times New Roman"/>
          <w:sz w:val="28"/>
          <w:szCs w:val="28"/>
        </w:rPr>
        <w:t xml:space="preserve">еобходимости оказания ему медицинской помощи, в том числе медицинского наблюдения. После получения заключения уполномоченной медицинской организации об отсутствии медицинских противопоказаний предоставление социальных услуг в прежних формах возобновляется.</w:t>
      </w:r>
      <w:r/>
    </w:p>
    <w:p>
      <w:pPr>
        <w:pStyle w:val="649"/>
        <w:ind w:right="-2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по истечении девяноста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49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Установлена возможность осуществления государственной регистрации рождения и смерти без предъявления заявителем в орган ЗАГС медицинского свидетельства о рождении либо смерти на бумажном носителе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тексту приказа, это возможно при наличии данных документов в электронном виде, поступивших с Единого портала госуслуг, в ЕГР ЗАГС.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внесены в связи с созданием федеральных реестров документов о рождении и смерти на базе единой государственной информационной системы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9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Установлены требования к претендентам на осуществление медицинской деятельности на должностях врачей-анестезиологов-реаниматологов, врачей-травматологов-ортопедов, врачей-хирургов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Определено, что к осуществлению медицинской деятельности на указанных должностях при условии прохождения аккредитации специалиста по соответствующей специальности допускаются лица: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 диплом специалиста по специальнос</w:t>
      </w:r>
      <w:r>
        <w:rPr>
          <w:rFonts w:ascii="Times New Roman" w:hAnsi="Times New Roman" w:cs="Times New Roman"/>
          <w:sz w:val="28"/>
          <w:szCs w:val="28"/>
        </w:rPr>
        <w:t xml:space="preserve">тям "Лечебное дело" или "Педиатрия" при наличии пройденной аккредитации специалиста по специальности "Лечебное дело" или "Педиатрия" и прохождении обучения по дополнительной профессиональной программе (не менее 1296 часов) по соответствующей специальности;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 диплом специалиста по специальностям "Лечебное дело" или "Педиатрия" при наличии подготовки в интернатуре (ординатуре) и пройденной аккредитации специалиста или сертификата специалиста по одной из с</w:t>
      </w:r>
      <w:r>
        <w:rPr>
          <w:rFonts w:ascii="Times New Roman" w:hAnsi="Times New Roman" w:cs="Times New Roman"/>
          <w:sz w:val="28"/>
          <w:szCs w:val="28"/>
        </w:rPr>
        <w:t xml:space="preserve">пециальностей подготовки кадров высшей квалификации по программам ординатуры укрупненной группы специальностей "Клиническая медицина" и прохождении обучения по дополнительной профессиональной программе (не менее 504 часов) по соответствующей специальности.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действует до 31 декабря 2024 г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9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Конституционный Суд разрешил использовать средства материнского капитала для реконструкции жилых помещений в доме блокированной застройки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Конституционный Суд отметил, что по буквальному смыслу пункта 2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10 Федерального закона "О дополнительных мерах государственной поддержки семей, имеющих детей", в том числе во взаимосвязи с положениями Градостроительного кодекса РФ и Жилищного кодекса РФ, действующее регулирование не предусматривает использования средс</w:t>
      </w:r>
      <w:r>
        <w:rPr>
          <w:rFonts w:ascii="Times New Roman" w:hAnsi="Times New Roman" w:cs="Times New Roman"/>
          <w:sz w:val="28"/>
          <w:szCs w:val="28"/>
        </w:rPr>
        <w:t xml:space="preserve">тв маткапитала на реконструкцию объекта капитального строительства, не являющегося объектом индивидуального жилищного строительства, даже если при этом улучшаются жилищные условия в жилом помещении, принадлежащем лицу, получившему сертификат на маткапитал.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предназначению маткапитала не противоречит реконструкция иного, нежели объект ИЖС, объекта капитального строительства, в результате которой увеличивается площадь жилого помещения, принадлежащего получившему сертификат лицу.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указанное положение не соответствует Конституции РФ, поскольку оно не предусматривает возможности направить средства маткапитала на улучшение жилищных условий путем реконструкции иного объекта капитального строительства, предназ</w:t>
      </w:r>
      <w:r>
        <w:rPr>
          <w:rFonts w:ascii="Times New Roman" w:hAnsi="Times New Roman" w:cs="Times New Roman"/>
          <w:sz w:val="28"/>
          <w:szCs w:val="28"/>
        </w:rPr>
        <w:t xml:space="preserve">наченного для постоянного проживания, кроме объекта ИЖС, притом что лицом, получившим сертификат, выполнены все требования, предъявляемые к реконструкции таких объектов, а также соблюдены иные условия направления средств маткапитала на такую реконструкцию.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Федеральному законодателю надлежит внести необходимые изменения в действующее законодательное регулирование. До этого указание 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актах на реконструкцию именно объектов ИЖС не должно препятствовать направлению средств маткапитала на улучшение жилищных условий путем реконструкции иного объекта капитального строительства, предназначенного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9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Расширен круг лиц, имеющих право приобрести автомобиль (электромобиль) на условиях льготного кредитования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ак, льготными условиями по автокредиту смогут воспользоваться, в том числе, граждане, проходящие военную службу по контракту или военную службу по призыву, проживающие совместно с ними супруги, дети или родители, а также военные пенсионеры.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документом уточнены порядок конкурсного отбора кредитных организаций для участия в программе субсидирования автокредитов, требования к кредитным организациям, а также скорректирована форма расчета разме</w:t>
      </w:r>
      <w:r>
        <w:rPr>
          <w:rFonts w:ascii="Times New Roman" w:hAnsi="Times New Roman" w:cs="Times New Roman"/>
          <w:sz w:val="28"/>
          <w:szCs w:val="28"/>
        </w:rPr>
        <w:t xml:space="preserve">ра субсидии на уплату первоначального взноса или списание основного долга, предоставляемой кредитной организации на возмещение затрат по кредитам, выданным российскими кредитными организациями в 2018 - 2023 гг. физическим лицам на приобретение автомобилей.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за исключением положений, для которых предусмотрен иной срок их вступления в силу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9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МРОТ с 1 января 2023 года составит 16 242 рубля в месяц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также предусматривается ускоренное повышение величины МРОТ в 2023 и 2024</w:t>
      </w:r>
      <w:r>
        <w:rPr>
          <w:rFonts w:ascii="Times New Roman" w:hAnsi="Times New Roman" w:cs="Times New Roman"/>
          <w:sz w:val="28"/>
          <w:szCs w:val="28"/>
        </w:rPr>
        <w:t xml:space="preserve"> годах путем ее исчисления исходя из темпа роста МРОТ, превышающего на три процентных пункта темп роста величины прожиточного минимума, установленной соответственно на 2023 и 2024 годы, по отношению к указанной величине, установленной на предшествующий год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9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Конституционным Судом разъяснены отдельные вопросы признания жилого помещения непригодным для проживания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судебной практике не исключена ситуация, когда суд, признав решение межведомственной комиссии о признании жилого помещения пригодным или непригодным для проживания незак</w:t>
      </w:r>
      <w:r>
        <w:rPr>
          <w:rFonts w:ascii="Times New Roman" w:hAnsi="Times New Roman" w:cs="Times New Roman"/>
          <w:sz w:val="28"/>
          <w:szCs w:val="28"/>
        </w:rPr>
        <w:t xml:space="preserve">онным, вправе - не предрешая существа решения, которое будет ею принято по итогам рассмотрения вопроса о признании помещения непригодным для проживания, - лишь обязать комиссию в определенный срок оценить соответствие помещения предусмотренным требованиям.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 судебном акте прямого указания о возложении на межведомственную ком</w:t>
      </w:r>
      <w:r>
        <w:rPr>
          <w:rFonts w:ascii="Times New Roman" w:hAnsi="Times New Roman" w:cs="Times New Roman"/>
          <w:sz w:val="28"/>
          <w:szCs w:val="28"/>
        </w:rPr>
        <w:t xml:space="preserve">иссию и орган местного самоуправления обязанности признать помещение непригодным для проживания (либо иного указания) позволяет им считать судебный акт исполненным даже в случае принятия ими нового решения, открыто противоречащего решению, принятому судом.</w:t>
      </w:r>
      <w:r/>
    </w:p>
    <w:p>
      <w:pPr>
        <w:pStyle w:val="649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4 статьи 15 Жилищного кодекса РФ и пункты 7, 42, 47, 51 и 52 Положения о признании помещения жилым помещением, жилого помещения непригодным для проживания, многоквартирного дома аварийным и подлежащим сносу ил</w:t>
      </w:r>
      <w:r>
        <w:rPr>
          <w:rFonts w:ascii="Times New Roman" w:hAnsi="Times New Roman" w:cs="Times New Roman"/>
          <w:sz w:val="28"/>
          <w:szCs w:val="28"/>
        </w:rPr>
        <w:t xml:space="preserve">и реконструкции, садового дома жилым домом и жилого дома садовым домом не противоречат Конституции РФ. Они позволяют суду при рассмотрении обращения об оспаривании заключения межведомственной комиссии и последующего акта органа местного самоуправления о пр</w:t>
      </w:r>
      <w:r>
        <w:rPr>
          <w:rFonts w:ascii="Times New Roman" w:hAnsi="Times New Roman" w:cs="Times New Roman"/>
          <w:sz w:val="28"/>
          <w:szCs w:val="28"/>
        </w:rPr>
        <w:t xml:space="preserve">изнании жилого помещения пригодным или непригодным для проживания решить указанный вопрос по существу либо возложить на межведомственную комиссию обязанность принять соответствующее решение, если установлены все обстоятельства, необходимые для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709" w:right="851" w:bottom="1135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4"/>
      <w:rPr>
        <w:rStyle w:val="645"/>
      </w:rPr>
      <w:framePr w:wrap="around" w:vAnchor="text" w:hAnchor="margin" w:xAlign="center" w:y="1"/>
    </w:pPr>
    <w:r>
      <w:rPr>
        <w:rStyle w:val="645"/>
      </w:rPr>
      <w:fldChar w:fldCharType="begin"/>
    </w:r>
    <w:r>
      <w:rPr>
        <w:rStyle w:val="645"/>
      </w:rPr>
      <w:instrText xml:space="preserve">PAGE  </w:instrText>
    </w:r>
    <w:r>
      <w:rPr>
        <w:rStyle w:val="645"/>
      </w:rPr>
      <w:fldChar w:fldCharType="separate"/>
    </w:r>
    <w:r>
      <w:rPr>
        <w:rStyle w:val="645"/>
      </w:rPr>
      <w:t xml:space="preserve">2</w:t>
    </w:r>
    <w:r>
      <w:rPr>
        <w:rStyle w:val="645"/>
      </w:rPr>
      <w:fldChar w:fldCharType="end"/>
    </w:r>
    <w:r>
      <w:rPr>
        <w:rStyle w:val="645"/>
      </w:rPr>
    </w:r>
    <w:r/>
  </w:p>
  <w:p>
    <w:pPr>
      <w:pStyle w:val="64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4"/>
      <w:rPr>
        <w:rStyle w:val="645"/>
      </w:rPr>
      <w:framePr w:wrap="around" w:vAnchor="text" w:hAnchor="margin" w:xAlign="center" w:y="1"/>
    </w:pPr>
    <w:r>
      <w:rPr>
        <w:rStyle w:val="645"/>
      </w:rPr>
      <w:fldChar w:fldCharType="begin"/>
    </w:r>
    <w:r>
      <w:rPr>
        <w:rStyle w:val="645"/>
      </w:rPr>
      <w:instrText xml:space="preserve">PAGE  </w:instrText>
    </w:r>
    <w:r>
      <w:rPr>
        <w:rStyle w:val="645"/>
      </w:rPr>
      <w:fldChar w:fldCharType="end"/>
    </w:r>
    <w:r>
      <w:rPr>
        <w:rStyle w:val="645"/>
      </w:rPr>
    </w:r>
    <w:r/>
  </w:p>
  <w:p>
    <w:pPr>
      <w:pStyle w:val="64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1890" w:hanging="1170"/>
        <w:tabs>
          <w:tab w:val="num" w:pos="189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7"/>
        <w:ind w:left="6840" w:hanging="180"/>
        <w:tabs>
          <w:tab w:val="num" w:pos="684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egacy w:legacy="1" w:legacyIndent="0" w:legacySpace="0"/>
      <w:lvlJc w:val="left"/>
      <w:pPr>
        <w:pStyle w:val="637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7"/>
    <w:next w:val="63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7"/>
    <w:next w:val="63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7"/>
    <w:next w:val="63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7"/>
    <w:next w:val="63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7"/>
    <w:next w:val="63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7"/>
    <w:next w:val="63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7"/>
    <w:next w:val="63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7"/>
    <w:next w:val="63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7"/>
    <w:next w:val="63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7"/>
    <w:next w:val="63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7"/>
    <w:next w:val="63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7"/>
    <w:next w:val="63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7"/>
    <w:next w:val="63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next w:val="637"/>
    <w:link w:val="637"/>
    <w:qFormat/>
    <w:rPr>
      <w:sz w:val="24"/>
      <w:szCs w:val="24"/>
      <w:lang w:val="ru-RU" w:eastAsia="ru-RU" w:bidi="ar-SA"/>
    </w:rPr>
  </w:style>
  <w:style w:type="paragraph" w:styleId="638">
    <w:name w:val="Заголовок 1"/>
    <w:basedOn w:val="637"/>
    <w:next w:val="637"/>
    <w:link w:val="637"/>
    <w:qFormat/>
    <w:pPr>
      <w:jc w:val="center"/>
      <w:keepNext/>
      <w:outlineLvl w:val="0"/>
    </w:pPr>
    <w:rPr>
      <w:b/>
      <w:sz w:val="18"/>
    </w:rPr>
  </w:style>
  <w:style w:type="character" w:styleId="639">
    <w:name w:val="Основной шрифт абзаца"/>
    <w:next w:val="639"/>
    <w:link w:val="637"/>
    <w:semiHidden/>
  </w:style>
  <w:style w:type="table" w:styleId="640">
    <w:name w:val="Обычная таблица"/>
    <w:next w:val="640"/>
    <w:link w:val="637"/>
    <w:semiHidden/>
    <w:tblPr/>
  </w:style>
  <w:style w:type="numbering" w:styleId="641">
    <w:name w:val="Нет списка"/>
    <w:next w:val="641"/>
    <w:link w:val="637"/>
    <w:semiHidden/>
  </w:style>
  <w:style w:type="paragraph" w:styleId="642">
    <w:name w:val="Текст выноски"/>
    <w:basedOn w:val="637"/>
    <w:next w:val="642"/>
    <w:link w:val="637"/>
    <w:semiHidden/>
    <w:rPr>
      <w:rFonts w:ascii="Tahoma" w:hAnsi="Tahoma" w:cs="Tahoma"/>
      <w:sz w:val="16"/>
      <w:szCs w:val="16"/>
    </w:rPr>
  </w:style>
  <w:style w:type="paragraph" w:styleId="643">
    <w:name w:val="ConsNonformat"/>
    <w:next w:val="643"/>
    <w:link w:val="647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644">
    <w:name w:val="Верхний колонтитул"/>
    <w:basedOn w:val="637"/>
    <w:next w:val="644"/>
    <w:link w:val="637"/>
    <w:pPr>
      <w:tabs>
        <w:tab w:val="center" w:pos="4677" w:leader="none"/>
        <w:tab w:val="right" w:pos="9355" w:leader="none"/>
      </w:tabs>
    </w:pPr>
  </w:style>
  <w:style w:type="character" w:styleId="645">
    <w:name w:val="Номер страницы"/>
    <w:basedOn w:val="639"/>
    <w:next w:val="645"/>
    <w:link w:val="637"/>
  </w:style>
  <w:style w:type="paragraph" w:styleId="646">
    <w:name w:val="Основной текст"/>
    <w:basedOn w:val="637"/>
    <w:next w:val="646"/>
    <w:link w:val="637"/>
    <w:pPr>
      <w:jc w:val="both"/>
    </w:pPr>
  </w:style>
  <w:style w:type="character" w:styleId="647">
    <w:name w:val="ConsNonformat Знак"/>
    <w:next w:val="647"/>
    <w:link w:val="643"/>
    <w:rPr>
      <w:rFonts w:ascii="Courier New" w:hAnsi="Courier New" w:cs="Courier New"/>
      <w:lang w:val="ru-RU" w:eastAsia="ru-RU" w:bidi="ar-SA"/>
    </w:rPr>
  </w:style>
  <w:style w:type="character" w:styleId="648">
    <w:name w:val="Гиперссылка"/>
    <w:next w:val="648"/>
    <w:link w:val="637"/>
    <w:rPr>
      <w:color w:val="0000ff"/>
      <w:u w:val="single"/>
    </w:rPr>
  </w:style>
  <w:style w:type="paragraph" w:styleId="649">
    <w:name w:val="ConsPlusNormal"/>
    <w:next w:val="649"/>
    <w:link w:val="637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character" w:styleId="1016" w:default="1">
    <w:name w:val="Default Paragraph Font"/>
    <w:uiPriority w:val="1"/>
    <w:semiHidden/>
    <w:unhideWhenUsed/>
  </w:style>
  <w:style w:type="numbering" w:styleId="1017" w:default="1">
    <w:name w:val="No List"/>
    <w:uiPriority w:val="99"/>
    <w:semiHidden/>
    <w:unhideWhenUsed/>
  </w:style>
  <w:style w:type="table" w:styleId="101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Прокуратура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creator>Роман</dc:creator>
  <cp:revision>3</cp:revision>
  <dcterms:created xsi:type="dcterms:W3CDTF">2022-12-30T09:58:00Z</dcterms:created>
  <dcterms:modified xsi:type="dcterms:W3CDTF">2023-01-09T05:30:19Z</dcterms:modified>
  <cp:version>1048576</cp:version>
</cp:coreProperties>
</file>