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8"/>
        <w:rPr>
          <w:sz w:val="24"/>
          <w:szCs w:val="24"/>
        </w:rPr>
      </w:pPr>
      <w:r>
        <w:rPr>
          <w:sz w:val="24"/>
          <w:szCs w:val="24"/>
        </w:rPr>
        <w:t xml:space="preserve">_____________                                                                                                                   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_______</w:t>
      </w:r>
      <w:r>
        <w:rPr>
          <w:sz w:val="24"/>
          <w:szCs w:val="24"/>
        </w:rPr>
      </w:r>
      <w:r/>
    </w:p>
    <w:p>
      <w:pPr>
        <w:pStyle w:val="407"/>
      </w:pPr>
      <w:r/>
      <w:r/>
    </w:p>
    <w:p>
      <w:pPr>
        <w:pStyle w:val="408"/>
        <w:ind w:left="0"/>
        <w:rPr>
          <w:b/>
          <w:sz w:val="16"/>
          <w:szCs w:val="16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b/>
          <w:sz w:val="16"/>
          <w:szCs w:val="16"/>
        </w:rPr>
        <w:t xml:space="preserve">с. Кожевниково</w:t>
      </w:r>
      <w:r>
        <w:rPr>
          <w:b/>
          <w:sz w:val="16"/>
          <w:szCs w:val="16"/>
        </w:rPr>
        <w:t xml:space="preserve"> Кожевниковского района Томской области</w:t>
      </w:r>
      <w:r>
        <w:rPr>
          <w:b/>
          <w:sz w:val="16"/>
          <w:szCs w:val="16"/>
        </w:rPr>
      </w:r>
      <w:r/>
    </w:p>
    <w:p>
      <w:pPr>
        <w:pStyle w:val="407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407"/>
        <w:ind w:firstLine="0"/>
        <w:rPr>
          <w:sz w:val="20"/>
        </w:rPr>
      </w:pPr>
      <w:r>
        <w:rPr>
          <w:sz w:val="20"/>
        </w:rPr>
      </w:r>
      <w:r/>
    </w:p>
    <w:p>
      <w:pPr>
        <w:pStyle w:val="40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</w:t>
      </w:r>
      <w:r>
        <w:rPr>
          <w:sz w:val="28"/>
          <w:szCs w:val="28"/>
        </w:rPr>
        <w:t xml:space="preserve"> хозяйственного комплекса Кожевниковского района </w:t>
      </w:r>
      <w:r>
        <w:rPr>
          <w:sz w:val="28"/>
          <w:szCs w:val="28"/>
        </w:rPr>
      </w:r>
      <w:r/>
    </w:p>
    <w:p>
      <w:pPr>
        <w:pStyle w:val="40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работе в осенне</w:t>
      </w:r>
      <w:r>
        <w:rPr>
          <w:sz w:val="28"/>
          <w:szCs w:val="28"/>
        </w:rPr>
        <w:t xml:space="preserve">-зимний период 2020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годов</w:t>
      </w:r>
      <w:r>
        <w:rPr>
          <w:sz w:val="28"/>
          <w:szCs w:val="28"/>
        </w:rPr>
      </w:r>
      <w:r/>
    </w:p>
    <w:p>
      <w:pPr>
        <w:pStyle w:val="40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распоряжени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Томской области от 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75</w:t>
      </w:r>
      <w:r>
        <w:rPr>
          <w:sz w:val="28"/>
          <w:szCs w:val="28"/>
        </w:rPr>
        <w:t xml:space="preserve">-р «О подготовке хозяйственного комплекса Томской области к раб</w:t>
      </w:r>
      <w:r>
        <w:rPr>
          <w:sz w:val="28"/>
          <w:szCs w:val="28"/>
        </w:rPr>
        <w:t xml:space="preserve">оте в осенн</w:t>
      </w:r>
      <w:r>
        <w:rPr>
          <w:sz w:val="28"/>
          <w:szCs w:val="28"/>
        </w:rPr>
        <w:t xml:space="preserve">е-зимний период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годов»</w:t>
      </w:r>
      <w:r>
        <w:rPr>
          <w:sz w:val="28"/>
          <w:szCs w:val="28"/>
        </w:rPr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  <w:szCs w:val="28"/>
        </w:rPr>
        <w:t xml:space="preserve">  </w:t>
      </w:r>
      <w:r/>
    </w:p>
    <w:p>
      <w:pPr>
        <w:pStyle w:val="407"/>
        <w:numPr>
          <w:ilvl w:val="0"/>
          <w:numId w:val="20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устойчивой работы объектов жизнеобеспечения Кожевниковского района в осенне-зимний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</w:t>
      </w:r>
      <w:r>
        <w:rPr>
          <w:sz w:val="28"/>
          <w:szCs w:val="28"/>
        </w:rPr>
        <w:t xml:space="preserve">утвердить: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районной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ежведомственной комиссии по подготовке хозяйственного комплекса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 раб</w:t>
      </w:r>
      <w:r>
        <w:rPr>
          <w:sz w:val="28"/>
          <w:szCs w:val="28"/>
        </w:rPr>
        <w:t xml:space="preserve">оте в осенн</w:t>
      </w:r>
      <w:r>
        <w:rPr>
          <w:sz w:val="28"/>
          <w:szCs w:val="28"/>
        </w:rPr>
        <w:t xml:space="preserve">е-зимний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согласно приложению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ежведомственной комиссии по подготовке хозяйственного комплекса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к раб</w:t>
      </w:r>
      <w:r>
        <w:rPr>
          <w:sz w:val="28"/>
          <w:szCs w:val="28"/>
        </w:rPr>
        <w:t xml:space="preserve">оте в осенн</w:t>
      </w:r>
      <w:r>
        <w:rPr>
          <w:sz w:val="28"/>
          <w:szCs w:val="28"/>
        </w:rPr>
        <w:t xml:space="preserve">е-зимний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согласно приложению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</w:t>
      </w:r>
      <w:r>
        <w:rPr>
          <w:sz w:val="28"/>
          <w:szCs w:val="28"/>
        </w:rPr>
        <w:t xml:space="preserve">ероприяти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хозяйственного комплекса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к раб</w:t>
      </w:r>
      <w:r>
        <w:rPr>
          <w:sz w:val="28"/>
          <w:szCs w:val="28"/>
        </w:rPr>
        <w:t xml:space="preserve">оте в осенне</w:t>
      </w:r>
      <w:r>
        <w:rPr>
          <w:sz w:val="28"/>
          <w:szCs w:val="28"/>
        </w:rPr>
        <w:t xml:space="preserve">-зимний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согласно приложению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</w:t>
      </w:r>
      <w:r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: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 апреля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года разработать и утвердить планы мероприятий по подготовке </w:t>
      </w:r>
      <w:r>
        <w:rPr>
          <w:sz w:val="28"/>
          <w:szCs w:val="28"/>
        </w:rPr>
        <w:t xml:space="preserve">хозяйственного комплекса сельских поселений </w:t>
      </w:r>
      <w:r>
        <w:rPr>
          <w:sz w:val="28"/>
          <w:szCs w:val="28"/>
        </w:rPr>
        <w:t xml:space="preserve">к работе в осенне-зимний период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 – 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годов;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2.2 в срок до 10 июля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года разработать и утвердить графики завоза топливно-энергетических ресур</w:t>
      </w:r>
      <w:r>
        <w:rPr>
          <w:sz w:val="28"/>
          <w:szCs w:val="28"/>
        </w:rPr>
        <w:t xml:space="preserve">сов в сельские поселения</w:t>
      </w:r>
      <w:r>
        <w:rPr>
          <w:sz w:val="28"/>
          <w:szCs w:val="28"/>
        </w:rPr>
        <w:t xml:space="preserve">. 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беспечить качественную подготовку объектов жилищно-коммунального хозяйства и социальной сферы </w:t>
      </w:r>
      <w:r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 к раб</w:t>
      </w:r>
      <w:r>
        <w:rPr>
          <w:sz w:val="28"/>
          <w:szCs w:val="28"/>
        </w:rPr>
        <w:t xml:space="preserve">оте в осенн</w:t>
      </w:r>
      <w:r>
        <w:rPr>
          <w:sz w:val="28"/>
          <w:szCs w:val="28"/>
        </w:rPr>
        <w:t xml:space="preserve">е-зимний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в соответствии с Правилами и нормами технической эксплуатации жилищного фонда, утвержденными Постановлением Госстроя России от 27.09.2003г. № 170 </w:t>
      </w:r>
      <w:r>
        <w:rPr>
          <w:sz w:val="28"/>
          <w:szCs w:val="28"/>
        </w:rPr>
        <w:t xml:space="preserve">«Об утверждении Правил и норм технической эксплуатации жилищного фонда»,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рганизационно-методическими рекомендациями по подготовке к проведению отопительного периода и повышению надежности </w:t>
      </w:r>
      <w:r>
        <w:rPr>
          <w:sz w:val="28"/>
          <w:szCs w:val="28"/>
        </w:rPr>
        <w:t xml:space="preserve">систем коммунального теплоснабжения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городах и населенных пунктах Российской Федерации, </w:t>
      </w:r>
      <w:r>
        <w:rPr>
          <w:sz w:val="28"/>
          <w:szCs w:val="28"/>
        </w:rPr>
        <w:t xml:space="preserve">утвержденных прика</w:t>
      </w:r>
      <w:r>
        <w:rPr>
          <w:sz w:val="28"/>
          <w:szCs w:val="28"/>
        </w:rPr>
        <w:t xml:space="preserve">зом Госстроя России от 06.09.200</w:t>
      </w:r>
      <w:r>
        <w:rPr>
          <w:sz w:val="28"/>
          <w:szCs w:val="28"/>
        </w:rPr>
        <w:t xml:space="preserve">0г. № 203</w:t>
      </w:r>
      <w:r>
        <w:rPr>
          <w:sz w:val="28"/>
          <w:szCs w:val="28"/>
        </w:rPr>
        <w:t xml:space="preserve">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населенных пунктах Российской Федерации»;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t xml:space="preserve"> </w:t>
      </w:r>
      <w:r>
        <w:t xml:space="preserve">С</w:t>
      </w:r>
      <w:r>
        <w:rPr>
          <w:sz w:val="28"/>
          <w:szCs w:val="28"/>
        </w:rPr>
        <w:t xml:space="preserve">оздать комиссии для контроля за ходом подготовки хозяйственного комплекса </w:t>
      </w:r>
      <w:r>
        <w:rPr>
          <w:sz w:val="28"/>
          <w:szCs w:val="28"/>
        </w:rPr>
        <w:t xml:space="preserve">сельских поселений</w:t>
      </w:r>
      <w:r>
        <w:rPr>
          <w:sz w:val="28"/>
          <w:szCs w:val="28"/>
        </w:rPr>
        <w:t xml:space="preserve"> к ра</w:t>
      </w:r>
      <w:r>
        <w:rPr>
          <w:sz w:val="28"/>
          <w:szCs w:val="28"/>
        </w:rPr>
        <w:t xml:space="preserve">боте в осенне-зимний период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 и обеспечить включение в их состав представителей </w:t>
      </w:r>
      <w:r>
        <w:rPr>
          <w:sz w:val="28"/>
          <w:szCs w:val="28"/>
        </w:rPr>
        <w:t xml:space="preserve">Администрации Кожевниковского района</w:t>
      </w:r>
      <w:r>
        <w:rPr>
          <w:sz w:val="28"/>
          <w:szCs w:val="28"/>
        </w:rPr>
        <w:t xml:space="preserve">;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Завершить подготовку объектов жилищно-коммунального хозяйства и социальной сферы к работе в осенне-зимний период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 до 10.09.20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г.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 Кожевниковского района от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105</w:t>
      </w:r>
      <w:r>
        <w:rPr>
          <w:sz w:val="28"/>
          <w:szCs w:val="28"/>
        </w:rPr>
        <w:t xml:space="preserve"> «О подготовке хозяйственного комплекса Кожевниковского района к работе в осенне-зимний период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-2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годов». 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4. Разместить настоящее постановление на официальном сайте органов местного самоуправления Кожевниковского района.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5. Настоящее постановление вступает в силу со дня его подписания.</w:t>
      </w:r>
      <w:r/>
    </w:p>
    <w:p>
      <w:pPr>
        <w:pStyle w:val="40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 xml:space="preserve">за</w:t>
      </w:r>
      <w:r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>
        <w:rPr>
          <w:rFonts w:eastAsia="Calibri"/>
          <w:sz w:val="28"/>
          <w:szCs w:val="28"/>
          <w:lang w:eastAsia="en-US"/>
        </w:rPr>
        <w:t xml:space="preserve">постановления</w:t>
      </w:r>
      <w:r>
        <w:rPr>
          <w:rFonts w:eastAsia="Calibri"/>
          <w:sz w:val="28"/>
          <w:szCs w:val="28"/>
          <w:lang w:eastAsia="en-US"/>
        </w:rPr>
        <w:t xml:space="preserve"> возложить на заместителя Главы Кожевниковского района по </w:t>
      </w:r>
      <w:r>
        <w:rPr>
          <w:rFonts w:eastAsia="Calibri"/>
          <w:sz w:val="28"/>
          <w:szCs w:val="28"/>
          <w:lang w:eastAsia="en-US"/>
        </w:rPr>
        <w:t xml:space="preserve">жилищно-</w:t>
      </w:r>
      <w:r>
        <w:rPr>
          <w:rFonts w:eastAsia="Calibri"/>
          <w:sz w:val="28"/>
          <w:szCs w:val="28"/>
          <w:lang w:eastAsia="en-US"/>
        </w:rPr>
        <w:t xml:space="preserve">коммунальному хозяйству, строительству, общественной безопасности Вакурина </w:t>
      </w:r>
      <w:r>
        <w:rPr>
          <w:rFonts w:eastAsia="Calibri"/>
          <w:sz w:val="28"/>
          <w:szCs w:val="28"/>
          <w:lang w:eastAsia="en-US"/>
        </w:rPr>
        <w:t xml:space="preserve">В.И.</w:t>
      </w:r>
      <w:r>
        <w:rPr>
          <w:rFonts w:eastAsia="Calibri"/>
          <w:sz w:val="28"/>
          <w:szCs w:val="28"/>
          <w:lang w:eastAsia="en-US"/>
        </w:rPr>
      </w:r>
      <w:r>
        <w:rPr>
          <w:sz w:val="28"/>
          <w:szCs w:val="28"/>
        </w:rPr>
      </w:r>
      <w:r/>
    </w:p>
    <w:p>
      <w:pPr>
        <w:pStyle w:val="40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района                                             </w:t>
      </w:r>
      <w:r>
        <w:rPr>
          <w:sz w:val="28"/>
          <w:szCs w:val="28"/>
        </w:rPr>
        <w:tab/>
        <w:tab/>
        <w:tab/>
        <w:t xml:space="preserve">               А.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Малолетко</w:t>
      </w:r>
      <w:r>
        <w:rPr>
          <w:sz w:val="28"/>
          <w:szCs w:val="28"/>
        </w:rPr>
      </w:r>
      <w:r/>
    </w:p>
    <w:tbl>
      <w:tblPr>
        <w:tblW w:w="1032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53"/>
        <w:gridCol w:w="497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района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жилищно-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коммунально</w:t>
            </w:r>
            <w:r>
              <w:rPr>
                <w:sz w:val="24"/>
                <w:szCs w:val="24"/>
              </w:rPr>
              <w:t xml:space="preserve">му</w:t>
            </w:r>
            <w:r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, строительств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, общественной безопасности _</w:t>
            </w:r>
            <w:r>
              <w:rPr>
                <w:sz w:val="24"/>
                <w:szCs w:val="24"/>
              </w:rPr>
              <w:t xml:space="preserve">___________________</w:t>
            </w:r>
            <w:r>
              <w:rPr>
                <w:sz w:val="24"/>
                <w:szCs w:val="24"/>
              </w:rPr>
              <w:t xml:space="preserve">__В.И.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Вакурин</w:t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____._________</w:t>
            </w:r>
            <w:r>
              <w:rPr>
                <w:sz w:val="24"/>
                <w:szCs w:val="24"/>
              </w:rPr>
              <w:t xml:space="preserve">__________</w:t>
            </w:r>
            <w:r>
              <w:rPr>
                <w:sz w:val="24"/>
                <w:szCs w:val="24"/>
              </w:rPr>
              <w:t xml:space="preserve">______20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71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</w:t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и кадровой работы</w:t>
            </w:r>
            <w:r/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</w:t>
            </w:r>
            <w:r>
              <w:rPr>
                <w:sz w:val="24"/>
                <w:szCs w:val="24"/>
              </w:rPr>
              <w:t xml:space="preserve">В.И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Савельева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____.________</w:t>
            </w:r>
            <w:r>
              <w:rPr>
                <w:sz w:val="24"/>
                <w:szCs w:val="24"/>
              </w:rPr>
              <w:t xml:space="preserve">___</w:t>
            </w:r>
            <w:r>
              <w:rPr>
                <w:sz w:val="24"/>
                <w:szCs w:val="24"/>
              </w:rPr>
              <w:t xml:space="preserve">________20</w:t>
            </w:r>
            <w:r>
              <w:rPr>
                <w:sz w:val="24"/>
                <w:szCs w:val="24"/>
              </w:rPr>
              <w:t xml:space="preserve">20г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71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07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В.Н. Елегечев</w:t>
      </w:r>
      <w:r>
        <w:rPr>
          <w:sz w:val="16"/>
          <w:szCs w:val="16"/>
        </w:rPr>
      </w:r>
      <w:r/>
    </w:p>
    <w:p>
      <w:pPr>
        <w:pStyle w:val="407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8(382)442-25-77</w:t>
      </w:r>
      <w:r/>
      <w:r>
        <w:rPr>
          <w:sz w:val="28"/>
          <w:szCs w:val="28"/>
        </w:rPr>
      </w:r>
      <w:r/>
    </w:p>
    <w:p>
      <w:pPr>
        <w:pStyle w:val="407"/>
        <w:ind w:firstLine="0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№1</w:t>
      </w:r>
      <w:r>
        <w:rPr>
          <w:sz w:val="28"/>
          <w:szCs w:val="28"/>
        </w:rPr>
        <w:t xml:space="preserve">          </w:t>
      </w:r>
      <w:r/>
    </w:p>
    <w:p>
      <w:pPr>
        <w:pStyle w:val="407"/>
        <w:ind w:firstLine="0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</w:r>
      <w:r/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Кожевниковского района </w:t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</w:r>
      <w:r/>
    </w:p>
    <w:p>
      <w:pPr>
        <w:pStyle w:val="407"/>
        <w:jc w:val="right"/>
        <w:tabs>
          <w:tab w:val="left" w:pos="331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</w:t>
      </w:r>
      <w:r/>
    </w:p>
    <w:p>
      <w:pPr>
        <w:pStyle w:val="407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ежведомственной комиссии по подготовке</w:t>
      </w:r>
      <w:r>
        <w:rPr>
          <w:sz w:val="28"/>
          <w:szCs w:val="28"/>
        </w:rPr>
      </w:r>
      <w:r/>
    </w:p>
    <w:p>
      <w:pPr>
        <w:pStyle w:val="407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хозяйственного комплекса Кожевниковского района</w:t>
      </w:r>
      <w:r>
        <w:rPr>
          <w:sz w:val="28"/>
          <w:szCs w:val="28"/>
        </w:rPr>
      </w:r>
      <w:r/>
    </w:p>
    <w:p>
      <w:pPr>
        <w:pStyle w:val="407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работе в </w:t>
      </w:r>
      <w:r>
        <w:rPr>
          <w:sz w:val="28"/>
          <w:szCs w:val="28"/>
        </w:rPr>
        <w:t xml:space="preserve">осенне-</w:t>
      </w:r>
      <w:r>
        <w:rPr>
          <w:sz w:val="28"/>
          <w:szCs w:val="28"/>
        </w:rPr>
        <w:t xml:space="preserve">зимни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</w:r>
      <w:r/>
    </w:p>
    <w:p>
      <w:pPr>
        <w:pStyle w:val="407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98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86"/>
        <w:gridCol w:w="581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Вакурин В.И.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аместител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Кожевниковского района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жилищно-</w:t>
            </w:r>
            <w:r>
              <w:rPr>
                <w:sz w:val="28"/>
                <w:szCs w:val="28"/>
              </w:rPr>
              <w:t xml:space="preserve">коммунально</w:t>
            </w:r>
            <w:r>
              <w:rPr>
                <w:sz w:val="28"/>
                <w:szCs w:val="28"/>
              </w:rPr>
              <w:t xml:space="preserve">му</w:t>
            </w:r>
            <w:r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, строительств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, общественной безопасности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Елегечев В.Н.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Юркин С.В.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хозяйства Администрации Кожевниковского района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Кожевниковского </w:t>
            </w:r>
            <w:r/>
            <w:r>
              <w:rPr>
                <w:sz w:val="28"/>
                <w:szCs w:val="28"/>
              </w:rPr>
              <w:t xml:space="preserve">района по социальной политике-начальник отдела по культуре, спорту, молодежной политике и связям с общественностью 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Г.М.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</w:t>
            </w:r>
            <w:r>
              <w:rPr>
                <w:sz w:val="28"/>
                <w:szCs w:val="28"/>
              </w:rPr>
              <w:t xml:space="preserve">ачальник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отдела образования </w:t>
            </w:r>
            <w:r>
              <w:rPr>
                <w:sz w:val="28"/>
                <w:szCs w:val="28"/>
              </w:rPr>
              <w:t xml:space="preserve">Администрации Кожевниковского района 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Литавин С.Н.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 xml:space="preserve">ОГБУЗ «Кожевниковской 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Цалко В.Н.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делам ГО и ЧС </w:t>
            </w:r>
            <w:r>
              <w:rPr>
                <w:sz w:val="28"/>
                <w:szCs w:val="28"/>
              </w:rPr>
              <w:t xml:space="preserve">Администрации Кожевниковского района   </w:t>
            </w:r>
            <w:r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Носикова Е.А.</w:t>
            </w:r>
            <w:r>
              <w:rPr>
                <w:sz w:val="28"/>
                <w:szCs w:val="28"/>
              </w:rPr>
              <w:t xml:space="preserve">         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муниципальной собственностью </w:t>
            </w:r>
            <w:r>
              <w:rPr>
                <w:sz w:val="28"/>
                <w:szCs w:val="28"/>
              </w:rPr>
              <w:t xml:space="preserve">Администрации Кожевниковского района   </w:t>
            </w:r>
            <w:r/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Аникин А.П.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Кожевниковского участка ЦЭС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Жулин С.А.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КР МУП «Комремстройхоз»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Елегечев Н.Г.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ООО «СТ</w:t>
            </w:r>
            <w:r>
              <w:rPr>
                <w:sz w:val="28"/>
                <w:szCs w:val="28"/>
              </w:rPr>
              <w:t xml:space="preserve">Э</w:t>
            </w:r>
            <w:r>
              <w:rPr>
                <w:sz w:val="28"/>
                <w:szCs w:val="28"/>
              </w:rPr>
              <w:t xml:space="preserve">» (по согласованию)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 Ю.П.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«Кожевниковский КОМХОЗ»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Клышников А.В.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Ростехнадзора - начальник Томского территориального отдела Государственного энергетического надзора (по согласованию)</w:t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40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комиссии при рассмотрении и решении вопросов сельских поселений участвуют Главы сельских поселений (по согласованию):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9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Пономаренко </w:t>
            </w:r>
            <w:r>
              <w:rPr>
                <w:sz w:val="28"/>
                <w:szCs w:val="28"/>
              </w:rPr>
              <w:t xml:space="preserve">М.В.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Кожевниковского сельского поселения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Н.И.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Малиновского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В.Н.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Песочнодубровского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С.Н.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Вороновского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Изотов А.В.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Новопокровского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Паршина Г.В.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Чилинского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А.М.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Уртамского сельского поселения</w:t>
            </w:r>
            <w:r/>
          </w:p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Т.В.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Староювалинского сельского поселения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07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tabs>
          <w:tab w:val="left" w:pos="331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tabs>
          <w:tab w:val="left" w:pos="331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40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  <w:tab/>
      </w:r>
      <w:r>
        <w:rPr>
          <w:sz w:val="28"/>
          <w:szCs w:val="28"/>
        </w:rPr>
        <w:t xml:space="preserve">Приложение № 2</w:t>
      </w:r>
      <w:r>
        <w:rPr>
          <w:sz w:val="28"/>
          <w:szCs w:val="28"/>
        </w:rPr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</w:t>
      </w:r>
      <w:r>
        <w:rPr>
          <w:sz w:val="28"/>
          <w:szCs w:val="28"/>
        </w:rPr>
        <w:t xml:space="preserve">ению </w:t>
      </w:r>
      <w:r/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Кожевниковского района </w:t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</w:t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межведомственной комиссии по подготовке </w:t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хозяйственного комплекса</w:t>
      </w:r>
      <w:r>
        <w:rPr>
          <w:sz w:val="28"/>
          <w:szCs w:val="28"/>
        </w:rPr>
        <w:t xml:space="preserve"> к работе в </w:t>
      </w:r>
      <w:r>
        <w:rPr>
          <w:sz w:val="28"/>
          <w:szCs w:val="28"/>
        </w:rPr>
        <w:t xml:space="preserve">осенне-</w:t>
      </w:r>
      <w:r>
        <w:rPr>
          <w:sz w:val="28"/>
          <w:szCs w:val="28"/>
        </w:rPr>
        <w:t xml:space="preserve">зимни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</w:r>
      <w:r/>
    </w:p>
    <w:p>
      <w:pPr>
        <w:pStyle w:val="4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межведомственная комиссия по подготовке </w:t>
      </w:r>
      <w:r>
        <w:rPr>
          <w:sz w:val="28"/>
          <w:szCs w:val="28"/>
        </w:rPr>
        <w:t xml:space="preserve">хозяйственного комплекса </w:t>
      </w:r>
      <w:r>
        <w:rPr>
          <w:sz w:val="28"/>
          <w:szCs w:val="28"/>
        </w:rPr>
        <w:t xml:space="preserve">к работе в осенне-зимний период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- Комиссия) является совещательным органом, созданным для обеспечения согласованности действий заинтересованных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исполнительных органов государственной власти Томской области с органами местного самоуправления </w:t>
      </w:r>
      <w:r>
        <w:rPr>
          <w:color w:val="000000"/>
          <w:sz w:val="28"/>
          <w:szCs w:val="28"/>
        </w:rPr>
        <w:t xml:space="preserve">Администрации Кожевниковского района</w:t>
      </w:r>
      <w:r>
        <w:rPr>
          <w:color w:val="000000"/>
          <w:sz w:val="28"/>
          <w:szCs w:val="28"/>
        </w:rPr>
        <w:t xml:space="preserve"> и организациями, расположенными на территории Кожевниковского района, по вопросам контроля за ходом подготовки хозяйственного комплекса к работе в осенне-зимний период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</w:t>
      </w:r>
      <w:r>
        <w:rPr>
          <w:sz w:val="28"/>
          <w:szCs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Томской области, Губернатора Томской области, а также настоящим Положением.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задачами Комиссии являются: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взаимодействия деятельности органов местного самоуправления и заинтересованных организаций по подготовке хозяйственного комплекса МО «Кожевниковский район» к работе в </w:t>
      </w:r>
      <w:r>
        <w:rPr>
          <w:sz w:val="28"/>
          <w:szCs w:val="28"/>
        </w:rPr>
        <w:t xml:space="preserve">осенне-</w:t>
      </w:r>
      <w:r>
        <w:rPr>
          <w:sz w:val="28"/>
          <w:szCs w:val="28"/>
        </w:rPr>
        <w:t xml:space="preserve">зимни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</w:t>
      </w:r>
      <w:r>
        <w:rPr>
          <w:sz w:val="28"/>
          <w:szCs w:val="28"/>
        </w:rPr>
        <w:t xml:space="preserve">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в установленном порядке предложений по обеспечению выполнения планов подготовки хозяйственного комплекса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к работе в </w:t>
      </w:r>
      <w:r>
        <w:rPr>
          <w:sz w:val="28"/>
          <w:szCs w:val="28"/>
        </w:rPr>
        <w:t xml:space="preserve">осенне-</w:t>
      </w:r>
      <w:r>
        <w:rPr>
          <w:sz w:val="28"/>
          <w:szCs w:val="28"/>
        </w:rPr>
        <w:t xml:space="preserve">зимни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</w:t>
      </w:r>
      <w:r>
        <w:rPr>
          <w:sz w:val="28"/>
          <w:szCs w:val="28"/>
        </w:rPr>
        <w:t xml:space="preserve">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контроля за ходом подготовки хозяйственного комплекса </w:t>
      </w:r>
      <w:r>
        <w:rPr>
          <w:sz w:val="28"/>
          <w:szCs w:val="28"/>
        </w:rPr>
        <w:t xml:space="preserve">Кожевниковского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 работе в осенне-зимний период</w:t>
      </w:r>
      <w:r>
        <w:rPr>
          <w:sz w:val="28"/>
          <w:szCs w:val="28"/>
        </w:rPr>
        <w:t xml:space="preserve">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 xml:space="preserve">осуществляет следующие функции: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анализирует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оценивает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 подготовки объектов </w:t>
      </w:r>
      <w:r>
        <w:rPr>
          <w:sz w:val="28"/>
          <w:szCs w:val="28"/>
        </w:rPr>
        <w:t xml:space="preserve">жизнеобеспечения хозяйственного комплекса Кожевниковского района</w:t>
      </w:r>
      <w:r>
        <w:rPr>
          <w:sz w:val="28"/>
          <w:szCs w:val="28"/>
        </w:rPr>
        <w:t xml:space="preserve"> к работе в </w:t>
      </w:r>
      <w:r>
        <w:rPr>
          <w:sz w:val="28"/>
          <w:szCs w:val="28"/>
        </w:rPr>
        <w:t xml:space="preserve">осенне-</w:t>
      </w:r>
      <w:r>
        <w:rPr>
          <w:sz w:val="28"/>
          <w:szCs w:val="28"/>
        </w:rPr>
        <w:t xml:space="preserve">зимни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</w:t>
      </w:r>
      <w:r>
        <w:rPr>
          <w:sz w:val="28"/>
          <w:szCs w:val="28"/>
        </w:rPr>
        <w:t xml:space="preserve">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контроль за ходом подготовки к работе в осенне-зимний период объектов жизнеобеспечения хозяйственного комплекса </w:t>
      </w:r>
      <w:r>
        <w:rPr>
          <w:sz w:val="28"/>
          <w:szCs w:val="28"/>
        </w:rPr>
        <w:t xml:space="preserve">Кожевниковского района</w:t>
      </w:r>
      <w:r>
        <w:rPr>
          <w:sz w:val="28"/>
          <w:szCs w:val="28"/>
        </w:rPr>
        <w:t xml:space="preserve">, в том числе с выездами на места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участие в разработке мер по решению проблем, возникающих при подготовке хозяйственного комплекса </w:t>
      </w:r>
      <w:r>
        <w:rPr>
          <w:sz w:val="28"/>
          <w:szCs w:val="28"/>
        </w:rPr>
        <w:t xml:space="preserve">Кожевниковского района</w:t>
      </w:r>
      <w:r>
        <w:rPr>
          <w:sz w:val="28"/>
          <w:szCs w:val="28"/>
        </w:rPr>
        <w:t xml:space="preserve"> к работе в осенне-зимний период, их финансовому обеспечению, а также по обеспечению эффективности использования привлекаемых средств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вопросы создани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запасов топлива и аварийных запасов материально-технических ресурсов в сельских поселени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 и заинтересованных организаций.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для осуществления возложенных на нее задач имеет право</w:t>
      </w:r>
      <w:r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: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запрашивать в установленном порядке у органов местного самоуправления и организаций информацию по вопросам, относящимся к компетенции Комиссии;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заслушивать на своих заседаниях представителей органов местного самоуправления и соответствующих организаций по вопросам, относящимся к компетенции Комиссии;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привлекать для участия в работе Комиссии представителей органов местного самоуправления и заинтересованных организаций, в том числе создавать с их участием рабочие группы по направлениям деятельности Комиссии.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Перечисленный перечень полномочий Комиссии не является исчерпывающим и может изменяться в процессе работы Комиссии.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Кожевниковского района</w:t>
      </w:r>
      <w:r>
        <w:rPr>
          <w:sz w:val="28"/>
          <w:szCs w:val="28"/>
        </w:rPr>
        <w:t xml:space="preserve">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комиссии: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персональную ответственность за выполнение задач, возложенных на Комиссию;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 план работы </w:t>
      </w:r>
      <w:r>
        <w:rPr>
          <w:sz w:val="28"/>
          <w:szCs w:val="28"/>
        </w:rPr>
        <w:t xml:space="preserve">Комиссии, определяет порядок рассмотрения вопросов. </w:t>
      </w:r>
      <w:r>
        <w:rPr>
          <w:sz w:val="28"/>
          <w:szCs w:val="28"/>
        </w:rPr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осуществляет </w:t>
      </w:r>
      <w:r>
        <w:rPr>
          <w:sz w:val="28"/>
          <w:szCs w:val="28"/>
        </w:rPr>
        <w:t xml:space="preserve">свою деятельность в соответствии с планом работы, утверждаемым председателем Комиссии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Комиссии проводит председатель Комиссии, а в его отсутствие (по его поручению) - заместитель председателя Комиссии.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Комиссии проводятся по мере необходимости, но не реже двух раз в месяц.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голосов голос председательствующего на заседании является решающим.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  <w:r/>
    </w:p>
    <w:p>
      <w:pPr>
        <w:pStyle w:val="40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принимаемые Комиссией, носят рекомендательный характер.</w:t>
      </w:r>
      <w:r/>
    </w:p>
    <w:p>
      <w:pPr>
        <w:pStyle w:val="4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0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0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0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25"/>
        <w:ind w:firstLine="0"/>
        <w:jc w:val="right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firstLine="0"/>
        <w:jc w:val="right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</w:t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</w:r>
      <w:r/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Кожевниковского района </w:t>
      </w:r>
      <w:r/>
    </w:p>
    <w:p>
      <w:pPr>
        <w:pStyle w:val="407"/>
        <w:jc w:val="right"/>
        <w:tabs>
          <w:tab w:val="left" w:pos="331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  <w:r/>
    </w:p>
    <w:p>
      <w:pPr>
        <w:pStyle w:val="425"/>
        <w:ind w:firstLine="0"/>
        <w:jc w:val="righ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378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690"/>
        <w:gridCol w:w="409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90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426"/>
              <w:jc w:val="center"/>
              <w:widowControl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еречень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</w:r>
            <w:r/>
          </w:p>
          <w:p>
            <w:pPr>
              <w:pStyle w:val="426"/>
              <w:jc w:val="center"/>
              <w:widowControl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мероприятий по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подготовке хозяйственного комплекса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/>
          </w:p>
          <w:p>
            <w:pPr>
              <w:pStyle w:val="426"/>
              <w:jc w:val="center"/>
              <w:widowControl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Кожевниковского района к работе в осенне-зимний период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годов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</w:r>
            <w:r/>
          </w:p>
          <w:p>
            <w:pPr>
              <w:pStyle w:val="426"/>
              <w:jc w:val="center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tbl>
            <w:tblPr>
              <w:tblW w:w="9464" w:type="dxa"/>
              <w:tblInd w:w="0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533"/>
              <w:gridCol w:w="4499"/>
              <w:gridCol w:w="1746"/>
              <w:gridCol w:w="2686"/>
            </w:tblGrid>
            <w:tr>
              <w:trPr>
                <w:trHeight w:val="275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п/п</w:t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мероприятия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Срок исполнения</w:t>
                  </w:r>
                  <w:r/>
                </w:p>
              </w:tc>
              <w:tc>
                <w:tcPr>
                  <w:tcW w:w="2693" w:type="dxa"/>
                  <w:vAlign w:val="center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Ответст</w:t>
                  </w:r>
                  <w:r>
                    <w:rPr>
                      <w:sz w:val="28"/>
                      <w:szCs w:val="28"/>
                    </w:rPr>
                    <w:t xml:space="preserve">в</w:t>
                  </w:r>
                  <w:r>
                    <w:rPr>
                      <w:sz w:val="28"/>
                      <w:szCs w:val="28"/>
                    </w:rPr>
                    <w:t xml:space="preserve">енные исполнители</w:t>
                  </w:r>
                  <w:r/>
                </w:p>
              </w:tc>
            </w:tr>
            <w:tr>
              <w:trPr>
                <w:trHeight w:val="290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Разработка и утверждение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планов и ме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роприятий по подготовке  к работе в осенне-зимний период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годов объектов ЖКХ 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социальной сферы муниципальных образований Кожевниковского района, подведомственных отраслей и организаций                                     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 </w:t>
                  </w:r>
                  <w:r>
                    <w:rPr>
                      <w:sz w:val="24"/>
                      <w:szCs w:val="24"/>
                    </w:rPr>
                    <w:t xml:space="preserve">15.04.20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 самоуправления Кожевниковского района совместно с организациями ЖКХ  (по согласованию)</w:t>
                  </w:r>
                  <w:r>
                    <w:rPr>
                      <w:szCs w:val="26"/>
                    </w:rPr>
                    <w:t xml:space="preserve">, отдел муниципального хозяйства Администрации Кожевниковского района</w:t>
                  </w: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29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Разработка и утверждение планов мероприятий по подготовке к работе в осенне-зимний период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годов подведомственных организаций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 </w:t>
                  </w:r>
                  <w:r>
                    <w:rPr>
                      <w:sz w:val="24"/>
                      <w:szCs w:val="24"/>
                    </w:rPr>
                    <w:t xml:space="preserve">15.04.20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Отраслевые отделы Администрации </w:t>
                  </w:r>
                  <w:r>
                    <w:rPr>
                      <w:szCs w:val="26"/>
                    </w:rPr>
                    <w:t xml:space="preserve">Кожевниковского </w:t>
                  </w:r>
                  <w:r>
                    <w:rPr>
                      <w:szCs w:val="26"/>
                    </w:rPr>
                    <w:t xml:space="preserve">района совместно с администрациями сельских поселений и организациями ЖКХ (по согласованию)   </w:t>
                  </w: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Организация работ по обеспечению источников тепла, приборами учета тепловой энергии, необходимым запасом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топлива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материально-технических ресурсов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 01.09.20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bCs/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</w:t>
                  </w:r>
                  <w:r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Кожевниковского района</w:t>
                  </w:r>
                  <w:r>
                    <w:rPr>
                      <w:szCs w:val="26"/>
                    </w:rPr>
                    <w:t xml:space="preserve">, отраслевые отделы</w:t>
                  </w:r>
                  <w:r>
                    <w:t xml:space="preserve"> </w:t>
                  </w:r>
                  <w:r>
                    <w:rPr>
                      <w:szCs w:val="26"/>
                    </w:rPr>
                    <w:t xml:space="preserve">Администрации Кожевниковского района </w:t>
                  </w:r>
                  <w:r>
                    <w:rPr>
                      <w:szCs w:val="26"/>
                    </w:rPr>
                    <w:t xml:space="preserve">совместно с </w:t>
                  </w:r>
                  <w:r>
                    <w:rPr>
                      <w:szCs w:val="26"/>
                    </w:rPr>
                    <w:t xml:space="preserve">организациями ЖКХ (по согласованию)   </w:t>
                  </w:r>
                  <w:r>
                    <w:rPr>
                      <w:bCs/>
                      <w:szCs w:val="26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Обеспечение мер по созданию нормативных запасов топлива </w:t>
                  </w:r>
                  <w:r/>
                </w:p>
                <w:p>
                  <w:pPr>
                    <w:pStyle w:val="42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для теплоснабжающих организаций в соответствии с утвержденным приказом Минэнерго России 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.08.201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377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 порядке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запаса 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 в том числе в целях государственного регулирования цен (тарифов) в сфере теплоснабжения»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01.09.20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 Кожевниковского района, отраслевые отделы Администрации Кожевниковского района совместно с организациями ЖКХ (по согласованию)   </w:t>
                  </w: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290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Обеспечение мер по стабилизации и погашению задолженности предприятий коммунального комплекса за топливно-энергетические ресурсы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01.09.20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 самоуправления Кожевниковского района совместно</w:t>
                  </w:r>
                  <w:r>
                    <w:rPr>
                      <w:szCs w:val="26"/>
                    </w:rPr>
                    <w:t xml:space="preserve"> с организациями ЖКХ  (по согласованию)</w:t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Организация профессионального обучения персонала предприятий и организаций ЖКХ</w:t>
                  </w:r>
                  <w:r>
                    <w:rPr>
                      <w:szCs w:val="26"/>
                    </w:rPr>
                    <w:t xml:space="preserve">, а также аттестация лиц ответственных за эксплуатацию источников тепловой энергии.</w:t>
                  </w: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Постоянно</w:t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 Кожевниковского района, отраслевые отделы Администрации Кожевниковского района совместно с организациями ЖКХ (по согласованию)   </w:t>
                  </w: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4702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мер по устранению нарушений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теплоснабжающих и теплосетевых организациях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установленных предписаниями Сибирского Управления Ростехнадзора.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color w:val="00B05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существление контроля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над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выполнением условий, указанных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      </w:r>
                  <w:r>
                    <w:rPr>
                      <w:rFonts w:ascii="Times New Roman" w:hAnsi="Times New Roman"/>
                      <w:color w:val="00B050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01.</w:t>
                  </w:r>
                  <w:r>
                    <w:rPr>
                      <w:sz w:val="24"/>
                      <w:szCs w:val="24"/>
                    </w:rPr>
                    <w:t xml:space="preserve">11</w:t>
                  </w:r>
                  <w:r>
                    <w:rPr>
                      <w:sz w:val="24"/>
                      <w:szCs w:val="24"/>
                    </w:rPr>
                    <w:t xml:space="preserve">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 Кожевниковского района, отраслевые отделы Администрации Кожевниковского района совместно с организациями ЖКХ (по согласованию)   </w:t>
                  </w: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3788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 соответствии с действующим          законодательством осуществление контроля за ходом подготовки к работе в осенне-зимний период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годов сельских поселений района, организаций,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беспечивающих энергоснабжение населения.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color w:val="00B0F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Проведение комиссионных проверок готовности объектов ЖКХ района  к работе в осенне-зимний период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годов</w:t>
                  </w:r>
                  <w:r>
                    <w:rPr>
                      <w:rFonts w:ascii="Times New Roman" w:hAnsi="Times New Roman"/>
                      <w:color w:val="00B0F0"/>
                      <w:sz w:val="26"/>
                      <w:szCs w:val="26"/>
                    </w:rPr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Согласно утвержденным графикам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 Кожевниковского района, отраслевые отделы Администрации Кожевниковского района</w:t>
                  </w:r>
                  <w:r>
                    <w:rPr>
                      <w:szCs w:val="26"/>
                    </w:rPr>
                    <w:t xml:space="preserve">,</w:t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г</w:t>
                  </w:r>
                  <w:r>
                    <w:rPr>
                      <w:szCs w:val="26"/>
                    </w:rPr>
                    <w:t xml:space="preserve">лавный специалист по вопросам ГО и ЧС Администрации Кожевниковского района</w:t>
                  </w:r>
                  <w:r>
                    <w:rPr>
                      <w:color w:val="FF0000"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совместно с организациями ЖКХ (по согласованию) </w:t>
                  </w:r>
                  <w:r>
                    <w:rPr>
                      <w:szCs w:val="26"/>
                    </w:rPr>
                  </w:r>
                  <w:r/>
                </w:p>
              </w:tc>
            </w:tr>
            <w:tr>
              <w:trPr>
                <w:trHeight w:val="58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Представление в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Департамент ЖКХ и государственного жилищного надзора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Томской области: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</w:t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сведений о подготовке ЖКХ к работе в зимних условиях (в период с 1 ию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я по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ноября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) по форме федерального государственного статистического наблюдения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1-ЖКХ (зима) срочная; </w:t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информации о ходе подготовки         муниципальных образований Кожевниковского района к работе 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осенне -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зимний период начиная с 15 июня по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ноября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года;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информация о ходе поставок топливно-энергетических ресурсов в муниципальные образования района для нужд ЖКХ и социальной сферы в период с 1 июня по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ноября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г.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сведений о работе ЖКХ и объектов энергетики в зимних условиях по форме федерального государственного статистического наблюдения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2-ЖКХ (зима);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сведений о наличии и расходе топлива организациями жилищно-коммунального хозяйства и объектами энергетики в зимних условиях (в период с 1 ноября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по 1 апреля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года) по форме федерального государственного статистического наблюдения №3-ЖКХ (зима);</w:t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информации о начале отопительного сезона, подключении к теплоснабжению объектов социальной сферы и жилищного фонда;</w:t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информации о прохождении отопительного периода; </w:t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сведений о наличие топливных ресурсов для нужд ЖКХ и социальной сферы;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2- число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отчетного периода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1-е и 15-е число каждого месяца</w:t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1-е и 15-е число каждого месяца</w:t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раз в год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(2 декабря)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2-е число после отчетного периода</w:t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Ежедневно в п</w:t>
                  </w:r>
                  <w:r>
                    <w:rPr>
                      <w:sz w:val="24"/>
                      <w:szCs w:val="24"/>
                    </w:rPr>
                    <w:t xml:space="preserve">ериод с </w:t>
                  </w:r>
                  <w:r>
                    <w:rPr>
                      <w:sz w:val="24"/>
                      <w:szCs w:val="24"/>
                    </w:rPr>
                    <w:t xml:space="preserve">07</w:t>
                  </w:r>
                  <w:r>
                    <w:rPr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sz w:val="24"/>
                      <w:szCs w:val="24"/>
                    </w:rPr>
                    <w:t xml:space="preserve"> 2020</w:t>
                  </w:r>
                  <w:r>
                    <w:rPr>
                      <w:sz w:val="24"/>
                      <w:szCs w:val="24"/>
                    </w:rPr>
                    <w:t xml:space="preserve"> по 2</w:t>
                  </w:r>
                  <w:r>
                    <w:rPr>
                      <w:sz w:val="24"/>
                      <w:szCs w:val="24"/>
                    </w:rPr>
                    <w:t xml:space="preserve">6</w:t>
                  </w:r>
                  <w:r>
                    <w:rPr>
                      <w:sz w:val="24"/>
                      <w:szCs w:val="24"/>
                    </w:rPr>
                    <w:t xml:space="preserve"> октября 20</w:t>
                  </w:r>
                  <w:r>
                    <w:rPr>
                      <w:sz w:val="24"/>
                      <w:szCs w:val="24"/>
                    </w:rPr>
                    <w:t xml:space="preserve">21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Еженедельно, по пятницам (весь отопительный период)</w:t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самоуправления Кожевниковского района, отраслевые отделы Администрации Кожевниковского района совместно с организациями ЖКХ (по согласованию)   </w:t>
                  </w: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color w:val="FF0000"/>
                      <w:szCs w:val="26"/>
                    </w:rPr>
                  </w:pPr>
                  <w:r>
                    <w:rPr>
                      <w:color w:val="FF0000"/>
                      <w:szCs w:val="26"/>
                    </w:rPr>
                  </w:r>
                  <w:r/>
                </w:p>
              </w:tc>
            </w:tr>
            <w:tr>
              <w:trPr>
                <w:trHeight w:val="3118"/>
              </w:trPr>
              <w:tc>
                <w:tcPr>
                  <w:tcW w:w="534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numPr>
                      <w:ilvl w:val="0"/>
                      <w:numId w:val="18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4532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Проведение оценки готовности к работе в осенне-зимний период 20</w:t>
                  </w:r>
                  <w:r>
                    <w:rPr>
                      <w:szCs w:val="26"/>
                    </w:rPr>
                    <w:t xml:space="preserve">20</w:t>
                  </w:r>
                  <w:r>
                    <w:rPr>
                      <w:szCs w:val="26"/>
                    </w:rPr>
                    <w:t xml:space="preserve">-20</w:t>
                  </w:r>
                  <w:r>
                    <w:rPr>
                      <w:szCs w:val="26"/>
                    </w:rPr>
                    <w:t xml:space="preserve">2</w:t>
                  </w:r>
                  <w:r>
                    <w:rPr>
                      <w:szCs w:val="26"/>
                    </w:rPr>
                    <w:t xml:space="preserve">1</w:t>
                  </w:r>
                  <w:r>
                    <w:rPr>
                      <w:szCs w:val="26"/>
                    </w:rPr>
                    <w:t xml:space="preserve"> годов согласно Правилам оценки готовности к отопительному периоду, утвержденным приказом Минэнерго России от 12.03.2013 № 103</w:t>
                  </w:r>
                  <w:r>
                    <w:rPr>
                      <w:szCs w:val="26"/>
                    </w:rPr>
                    <w:t xml:space="preserve"> «Об утверждении Правил оценки готовности к отопительному периоду»</w:t>
                  </w:r>
                  <w:r>
                    <w:rPr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  <w:r/>
                </w:p>
                <w:p>
                  <w:pPr>
                    <w:pStyle w:val="427"/>
                    <w:widowControl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Оформление паспортов готовности к сезонной эксплуатации многоквартирных и жилых домов  к работе в осенне-зимний период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годов </w:t>
                  </w:r>
                  <w:r/>
                </w:p>
              </w:tc>
              <w:tc>
                <w:tcPr>
                  <w:tcW w:w="1705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</w:t>
                  </w:r>
                  <w:r>
                    <w:rPr>
                      <w:sz w:val="24"/>
                      <w:szCs w:val="24"/>
                    </w:rPr>
                    <w:t xml:space="preserve">1</w:t>
                  </w:r>
                  <w:r>
                    <w:rPr>
                      <w:sz w:val="24"/>
                      <w:szCs w:val="24"/>
                    </w:rPr>
                    <w:t xml:space="preserve">3</w:t>
                  </w:r>
                  <w:r>
                    <w:rPr>
                      <w:sz w:val="24"/>
                      <w:szCs w:val="24"/>
                    </w:rPr>
                    <w:t xml:space="preserve">.1</w:t>
                  </w:r>
                  <w:r>
                    <w:rPr>
                      <w:sz w:val="24"/>
                      <w:szCs w:val="24"/>
                    </w:rPr>
                    <w:t xml:space="preserve">1</w:t>
                  </w:r>
                  <w:r>
                    <w:rPr>
                      <w:sz w:val="24"/>
                      <w:szCs w:val="24"/>
                    </w:rPr>
                    <w:t xml:space="preserve">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407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срок до </w:t>
                  </w:r>
                  <w:r>
                    <w:rPr>
                      <w:sz w:val="24"/>
                      <w:szCs w:val="24"/>
                    </w:rPr>
                    <w:t xml:space="preserve">1</w:t>
                  </w:r>
                  <w:r>
                    <w:rPr>
                      <w:sz w:val="24"/>
                      <w:szCs w:val="24"/>
                    </w:rPr>
                    <w:t xml:space="preserve">0</w:t>
                  </w:r>
                  <w:r>
                    <w:rPr>
                      <w:sz w:val="24"/>
                      <w:szCs w:val="24"/>
                    </w:rPr>
                    <w:t xml:space="preserve">.</w:t>
                  </w:r>
                  <w:r>
                    <w:rPr>
                      <w:sz w:val="24"/>
                      <w:szCs w:val="24"/>
                    </w:rPr>
                    <w:t xml:space="preserve">09</w:t>
                  </w:r>
                  <w:r>
                    <w:rPr>
                      <w:sz w:val="24"/>
                      <w:szCs w:val="24"/>
                    </w:rPr>
                    <w:t xml:space="preserve">.20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2693" w:type="dxa"/>
                  <w:vAlign w:val="top"/>
                  <w:textDirection w:val="lrTb"/>
                  <w:noWrap w:val="false"/>
                </w:tcPr>
                <w:p>
                  <w:pPr>
                    <w:pStyle w:val="407"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Органы местного  самоуправления Кожевниковского района совместно с организациями ЖКХ  (по согласованию)</w:t>
                  </w:r>
                  <w:r/>
                </w:p>
              </w:tc>
            </w:tr>
          </w:tbl>
          <w:p>
            <w:pPr>
              <w:pStyle w:val="407"/>
              <w:ind w:firstLine="0"/>
              <w:jc w:val="center"/>
            </w:pPr>
            <w:r/>
            <w:r/>
          </w:p>
          <w:p>
            <w:pPr>
              <w:pStyle w:val="407"/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407"/>
              <w:ind w:left="720" w:firstLine="0"/>
              <w:jc w:val="righ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95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90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95" w:type="dxa"/>
            <w:vAlign w:val="top"/>
            <w:textDirection w:val="lrTb"/>
            <w:noWrap w:val="false"/>
          </w:tcPr>
          <w:p>
            <w:pPr>
              <w:pStyle w:val="407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</w:tbl>
    <w:p>
      <w:pPr>
        <w:pStyle w:val="407"/>
        <w:ind w:left="714" w:firstLine="0"/>
        <w:jc w:val="both"/>
        <w:spacing w:lineRule="auto" w:line="360" w:after="100" w:afterAutospacing="1"/>
        <w:rPr>
          <w:szCs w:val="26"/>
        </w:rPr>
      </w:pPr>
      <w:r>
        <w:rPr>
          <w:szCs w:val="26"/>
        </w:rPr>
      </w:r>
      <w:r/>
    </w:p>
    <w:sectPr>
      <w:headerReference w:type="default" r:id="rId8"/>
      <w:headerReference w:type="even" r:id="rId9"/>
      <w:headerReference w:type="first" r:id="rId10"/>
      <w:footerReference w:type="first" r:id="rId11"/>
      <w:footnotePr/>
      <w:type w:val="continuous"/>
      <w:pgSz w:w="11907" w:h="16840" w:orient="portrait"/>
      <w:pgMar w:top="709" w:right="851" w:bottom="851" w:left="1701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Palatino">
    <w:panose1 w:val="0204050205050503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4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3"/>
      <w:ind w:firstLine="0"/>
      <w:jc w:val="left"/>
      <w:rPr>
        <w:rStyle w:val="415"/>
        <w:b/>
      </w:rPr>
      <w:framePr w:w="170" w:h="170" w:wrap="around" w:vAnchor="page" w:hAnchor="page" w:x="6284" w:y="426" w:hRule="atLeast"/>
    </w:pPr>
    <w:r>
      <w:rPr>
        <w:rStyle w:val="415"/>
        <w:b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3"/>
      <w:rPr>
        <w:rStyle w:val="415"/>
      </w:rPr>
      <w:framePr w:wrap="around" w:vAnchor="text" w:hAnchor="margin" w:xAlign="center" w:y="1"/>
    </w:pPr>
    <w:r>
      <w:rPr>
        <w:rStyle w:val="415"/>
      </w:rPr>
      <w:fldChar w:fldCharType="begin"/>
    </w:r>
    <w:r>
      <w:rPr>
        <w:rStyle w:val="415"/>
      </w:rPr>
      <w:instrText xml:space="preserve">PAGE  </w:instrText>
    </w:r>
    <w:r>
      <w:rPr>
        <w:rStyle w:val="415"/>
      </w:rPr>
      <w:fldChar w:fldCharType="end"/>
    </w:r>
    <w:r>
      <w:rPr>
        <w:rStyle w:val="415"/>
      </w:rPr>
    </w:r>
    <w:r/>
  </w:p>
  <w:p>
    <w:pPr>
      <w:pStyle w:val="4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3"/>
      <w:ind w:left="-142" w:firstLine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/>
  </w:p>
  <w:p>
    <w:pPr>
      <w:pStyle w:val="413"/>
      <w:ind w:firstLine="0"/>
      <w:spacing w:lineRule="exact" w:line="240" w:after="120"/>
    </w:pPr>
    <w:r>
      <w:rPr>
        <w:b w:val="false"/>
        <w:sz w:val="32"/>
      </w:rPr>
      <w:t xml:space="preserve">  </w:t>
    </w:r>
    <w:r>
      <w:t xml:space="preserve">администрация   кожевниковского   района</w:t>
    </w:r>
    <w:r/>
  </w:p>
  <w:p>
    <w:pPr>
      <w:pStyle w:val="413"/>
      <w:ind w:firstLine="0"/>
      <w:spacing w:lineRule="auto" w:line="360" w:before="240"/>
    </w:pPr>
    <w:r>
      <w:t xml:space="preserve">постановление</w:t>
    </w:r>
    <w:r/>
  </w:p>
  <w:p>
    <w:pPr>
      <w:pStyle w:val="413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407"/>
        <w:ind w:left="720" w:hanging="360"/>
        <w:tabs>
          <w:tab w:val="left" w:pos="720" w:leader="none"/>
        </w:tabs>
      </w:pPr>
      <w:rPr>
        <w:rFonts w:ascii="Palatino" w:hAnsi="Palatino"/>
      </w:r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407"/>
        <w:ind w:left="1173" w:hanging="465"/>
        <w:tabs>
          <w:tab w:val="left" w:pos="117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407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407"/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  <w:tabs>
          <w:tab w:val="left" w:pos="2160" w:leader="none"/>
        </w:tabs>
      </w:p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7"/>
        <w:ind w:left="780" w:hanging="48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380" w:hanging="360"/>
        <w:tabs>
          <w:tab w:val="left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00" w:hanging="180"/>
        <w:tabs>
          <w:tab w:val="left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20" w:hanging="360"/>
        <w:tabs>
          <w:tab w:val="left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540" w:hanging="360"/>
        <w:tabs>
          <w:tab w:val="left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260" w:hanging="180"/>
        <w:tabs>
          <w:tab w:val="left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4980" w:hanging="360"/>
        <w:tabs>
          <w:tab w:val="left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00" w:hanging="360"/>
        <w:tabs>
          <w:tab w:val="left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20" w:hanging="180"/>
        <w:tabs>
          <w:tab w:val="left" w:pos="64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960" w:hanging="960"/>
        <w:tabs>
          <w:tab w:val="left" w:pos="9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407"/>
        <w:ind w:left="720" w:hanging="360"/>
        <w:tabs>
          <w:tab w:val="left" w:pos="720" w:leader="none"/>
        </w:tabs>
      </w:pPr>
      <w:rPr>
        <w:rFonts w:ascii="Palatino" w:hAnsi="Palatino"/>
      </w:r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407"/>
        <w:ind w:left="720" w:hanging="360"/>
        <w:tabs>
          <w:tab w:val="left" w:pos="720" w:leader="none"/>
        </w:tabs>
      </w:pPr>
      <w:rPr>
        <w:rFonts w:ascii="Palatino" w:hAnsi="Palatino"/>
      </w:r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080" w:hanging="360"/>
        <w:tabs>
          <w:tab w:val="left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1800" w:hanging="360"/>
        <w:tabs>
          <w:tab w:val="left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520" w:hanging="360"/>
        <w:tabs>
          <w:tab w:val="left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240" w:hanging="360"/>
        <w:tabs>
          <w:tab w:val="left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3960" w:hanging="360"/>
        <w:tabs>
          <w:tab w:val="left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4680" w:hanging="360"/>
        <w:tabs>
          <w:tab w:val="left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400" w:hanging="360"/>
        <w:tabs>
          <w:tab w:val="left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120" w:hanging="360"/>
        <w:tabs>
          <w:tab w:val="left" w:pos="612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1414" w:hanging="705"/>
        <w:tabs>
          <w:tab w:val="left" w:pos="141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1173" w:hanging="465"/>
        <w:tabs>
          <w:tab w:val="left" w:pos="117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407"/>
        <w:ind w:left="720" w:hanging="360"/>
        <w:tabs>
          <w:tab w:val="left" w:pos="720" w:leader="none"/>
        </w:tabs>
      </w:pPr>
      <w:rPr>
        <w:rFonts w:ascii="Palatino" w:hAnsi="Palatino"/>
      </w:r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07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07"/>
        <w:ind w:left="1080" w:hanging="360"/>
        <w:tabs>
          <w:tab w:val="left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7"/>
        <w:ind w:left="1800" w:hanging="360"/>
        <w:tabs>
          <w:tab w:val="left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7"/>
        <w:ind w:left="2520" w:hanging="360"/>
        <w:tabs>
          <w:tab w:val="left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7"/>
        <w:ind w:left="3240" w:hanging="360"/>
        <w:tabs>
          <w:tab w:val="left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7"/>
        <w:ind w:left="3960" w:hanging="360"/>
        <w:tabs>
          <w:tab w:val="left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7"/>
        <w:ind w:left="4680" w:hanging="360"/>
        <w:tabs>
          <w:tab w:val="left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7"/>
        <w:ind w:left="5400" w:hanging="360"/>
        <w:tabs>
          <w:tab w:val="left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7"/>
        <w:ind w:left="6120" w:hanging="360"/>
        <w:tabs>
          <w:tab w:val="left" w:pos="612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913" w:hanging="360"/>
        <w:tabs>
          <w:tab w:val="left" w:pos="91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633" w:hanging="360"/>
        <w:tabs>
          <w:tab w:val="left" w:pos="163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353" w:hanging="180"/>
        <w:tabs>
          <w:tab w:val="left" w:pos="235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3073" w:hanging="360"/>
        <w:tabs>
          <w:tab w:val="left" w:pos="307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793" w:hanging="360"/>
        <w:tabs>
          <w:tab w:val="left" w:pos="379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513" w:hanging="180"/>
        <w:tabs>
          <w:tab w:val="left" w:pos="451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233" w:hanging="360"/>
        <w:tabs>
          <w:tab w:val="left" w:pos="523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953" w:hanging="360"/>
        <w:tabs>
          <w:tab w:val="left" w:pos="595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673" w:hanging="180"/>
        <w:tabs>
          <w:tab w:val="left" w:pos="667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7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07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07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7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07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07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7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07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07"/>
        <w:ind w:left="6480" w:hanging="180"/>
        <w:tabs>
          <w:tab w:val="left" w:pos="6480" w:leader="none"/>
        </w:tabs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7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19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7">
    <w:name w:val="Обычный"/>
    <w:next w:val="407"/>
    <w:link w:val="407"/>
    <w:rPr>
      <w:sz w:val="26"/>
      <w:lang w:val="ru-RU" w:bidi="ar-SA" w:eastAsia="ru-RU"/>
    </w:rPr>
    <w:pPr>
      <w:ind w:firstLine="709"/>
    </w:pPr>
  </w:style>
  <w:style w:type="paragraph" w:styleId="408">
    <w:name w:val="Заголовок 1"/>
    <w:basedOn w:val="407"/>
    <w:next w:val="407"/>
    <w:link w:val="407"/>
    <w:rPr>
      <w:sz w:val="28"/>
    </w:rPr>
    <w:pPr>
      <w:ind w:left="-600" w:right="-763" w:firstLine="0"/>
      <w:jc w:val="both"/>
      <w:keepNext/>
      <w:outlineLvl w:val="0"/>
    </w:pPr>
  </w:style>
  <w:style w:type="character" w:styleId="409">
    <w:name w:val="Основной шрифт абзаца"/>
    <w:next w:val="409"/>
    <w:link w:val="407"/>
    <w:semiHidden/>
  </w:style>
  <w:style w:type="table" w:styleId="410">
    <w:name w:val="Обычная таблица"/>
    <w:next w:val="410"/>
    <w:link w:val="407"/>
    <w:semiHidden/>
    <w:tblPr/>
  </w:style>
  <w:style w:type="numbering" w:styleId="411">
    <w:name w:val="Нет списка"/>
    <w:next w:val="411"/>
    <w:link w:val="407"/>
    <w:semiHidden/>
  </w:style>
  <w:style w:type="paragraph" w:styleId="412">
    <w:name w:val="Основной текст"/>
    <w:basedOn w:val="407"/>
    <w:next w:val="407"/>
    <w:link w:val="407"/>
    <w:rPr>
      <w:sz w:val="22"/>
    </w:rPr>
    <w:pPr>
      <w:ind w:firstLine="0"/>
      <w:jc w:val="both"/>
    </w:pPr>
  </w:style>
  <w:style w:type="paragraph" w:styleId="413">
    <w:name w:val="Верхний колонтитул"/>
    <w:basedOn w:val="407"/>
    <w:next w:val="413"/>
    <w:link w:val="407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414">
    <w:name w:val="Нижний колонтитул"/>
    <w:basedOn w:val="407"/>
    <w:next w:val="414"/>
    <w:link w:val="407"/>
    <w:pPr>
      <w:tabs>
        <w:tab w:val="center" w:pos="4153" w:leader="none"/>
        <w:tab w:val="right" w:pos="8306" w:leader="none"/>
      </w:tabs>
    </w:pPr>
  </w:style>
  <w:style w:type="character" w:styleId="415">
    <w:name w:val="Номер страницы"/>
    <w:basedOn w:val="409"/>
    <w:next w:val="415"/>
    <w:link w:val="407"/>
  </w:style>
  <w:style w:type="paragraph" w:styleId="416">
    <w:name w:val="Название объекта"/>
    <w:basedOn w:val="407"/>
    <w:next w:val="407"/>
    <w:link w:val="407"/>
    <w:rPr>
      <w:b/>
      <w:sz w:val="28"/>
    </w:rPr>
    <w:pPr>
      <w:jc w:val="center"/>
    </w:pPr>
  </w:style>
  <w:style w:type="paragraph" w:styleId="417">
    <w:name w:val="Цитата"/>
    <w:basedOn w:val="407"/>
    <w:next w:val="417"/>
    <w:link w:val="407"/>
    <w:rPr>
      <w:sz w:val="28"/>
    </w:rPr>
    <w:pPr>
      <w:ind w:left="-600" w:right="-763" w:firstLine="0"/>
      <w:jc w:val="both"/>
    </w:pPr>
  </w:style>
  <w:style w:type="paragraph" w:styleId="418">
    <w:name w:val="Обращение"/>
    <w:basedOn w:val="407"/>
    <w:next w:val="407"/>
    <w:link w:val="407"/>
    <w:rPr>
      <w:b/>
    </w:rPr>
    <w:pPr>
      <w:ind w:firstLine="0"/>
      <w:jc w:val="center"/>
      <w:spacing w:after="120" w:before="240"/>
    </w:pPr>
  </w:style>
  <w:style w:type="paragraph" w:styleId="419">
    <w:name w:val="Адресные реквизиты"/>
    <w:basedOn w:val="412"/>
    <w:next w:val="412"/>
    <w:link w:val="407"/>
    <w:rPr>
      <w:sz w:val="16"/>
    </w:rPr>
    <w:pPr>
      <w:jc w:val="left"/>
    </w:pPr>
  </w:style>
  <w:style w:type="paragraph" w:styleId="420">
    <w:name w:val="Адресат"/>
    <w:basedOn w:val="407"/>
    <w:next w:val="420"/>
    <w:link w:val="407"/>
    <w:rPr>
      <w:b/>
    </w:rPr>
    <w:pPr>
      <w:ind w:firstLine="0"/>
      <w:spacing w:before="120"/>
    </w:pPr>
  </w:style>
  <w:style w:type="paragraph" w:styleId="421">
    <w:name w:val="Основной текст 2"/>
    <w:basedOn w:val="407"/>
    <w:next w:val="421"/>
    <w:link w:val="407"/>
    <w:rPr>
      <w:sz w:val="28"/>
    </w:rPr>
    <w:pPr>
      <w:ind w:firstLine="0"/>
      <w:jc w:val="both"/>
    </w:pPr>
  </w:style>
  <w:style w:type="paragraph" w:styleId="422">
    <w:name w:val="Основной текст с отступом"/>
    <w:basedOn w:val="407"/>
    <w:next w:val="422"/>
    <w:link w:val="407"/>
    <w:rPr>
      <w:sz w:val="28"/>
    </w:rPr>
    <w:pPr>
      <w:jc w:val="both"/>
    </w:pPr>
  </w:style>
  <w:style w:type="table" w:styleId="423">
    <w:name w:val="Сетка таблицы"/>
    <w:basedOn w:val="410"/>
    <w:next w:val="423"/>
    <w:link w:val="407"/>
    <w:pPr>
      <w:ind w:firstLine="709"/>
    </w:pPr>
    <w:tblPr/>
  </w:style>
  <w:style w:type="paragraph" w:styleId="424">
    <w:name w:val="Текст выноски"/>
    <w:basedOn w:val="407"/>
    <w:next w:val="424"/>
    <w:link w:val="407"/>
    <w:semiHidden/>
    <w:rPr>
      <w:rFonts w:ascii="Tahoma" w:hAnsi="Tahoma"/>
      <w:sz w:val="16"/>
      <w:szCs w:val="16"/>
    </w:rPr>
  </w:style>
  <w:style w:type="paragraph" w:styleId="425">
    <w:name w:val="ConsPlusNormal"/>
    <w:next w:val="425"/>
    <w:link w:val="40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426">
    <w:name w:val="ConsPlusTitle"/>
    <w:next w:val="426"/>
    <w:link w:val="407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427">
    <w:name w:val="ConsPlusNonformat"/>
    <w:next w:val="427"/>
    <w:link w:val="407"/>
    <w:rPr>
      <w:rFonts w:ascii="Courier New" w:hAnsi="Courier New"/>
      <w:lang w:val="ru-RU" w:bidi="ar-SA" w:eastAsia="ru-RU"/>
    </w:rPr>
    <w:pPr>
      <w:widowControl w:val="off"/>
    </w:pPr>
  </w:style>
  <w:style w:type="table" w:styleId="428">
    <w:name w:val="Сетка таблицы1"/>
    <w:basedOn w:val="410"/>
    <w:next w:val="423"/>
    <w:link w:val="407"/>
    <w:tblPr/>
  </w:style>
  <w:style w:type="character" w:styleId="3361" w:default="1">
    <w:name w:val="Default Paragraph Font"/>
    <w:uiPriority w:val="1"/>
    <w:semiHidden/>
    <w:unhideWhenUsed/>
  </w:style>
  <w:style w:type="numbering" w:styleId="3362" w:default="1">
    <w:name w:val="No List"/>
    <w:uiPriority w:val="99"/>
    <w:semiHidden/>
    <w:unhideWhenUsed/>
  </w:style>
  <w:style w:type="paragraph" w:styleId="3363" w:default="1">
    <w:name w:val="Normal"/>
    <w:qFormat/>
  </w:style>
  <w:style w:type="table" w:styleId="33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2020-04-03T04:10:17Z</dcterms:modified>
</cp:coreProperties>
</file>