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B2" w:rsidRDefault="00A85385" w:rsidP="00A8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ИЗБИРАТЕЛЬНАЯ КОМИССИЯ </w:t>
      </w:r>
    </w:p>
    <w:p w:rsidR="00A85385" w:rsidRPr="001E52B5" w:rsidRDefault="004D2BD2" w:rsidP="00A8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КОЖЕВНИКОВСКОГО РАЙОНА</w:t>
      </w:r>
    </w:p>
    <w:p w:rsidR="004D2BD2" w:rsidRPr="001E52B5" w:rsidRDefault="004D2BD2" w:rsidP="00A8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D2BD2" w:rsidRPr="001E52B5" w:rsidRDefault="004D2BD2" w:rsidP="00A8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385" w:rsidRPr="001E52B5" w:rsidRDefault="00A85385" w:rsidP="00A8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A85385" w:rsidRPr="005B1EB2" w:rsidRDefault="005B1EB2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1E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03.07.2015</w:t>
      </w:r>
      <w:r w:rsidR="00A85385" w:rsidRPr="005B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  <w:r w:rsidRPr="005B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</w:t>
      </w:r>
      <w:r w:rsidR="00A85385" w:rsidRPr="005B1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34/168</w:t>
      </w:r>
      <w:bookmarkStart w:id="0" w:name="_GoBack"/>
      <w:bookmarkEnd w:id="0"/>
    </w:p>
    <w:p w:rsidR="00A85385" w:rsidRPr="001E52B5" w:rsidRDefault="00A85385" w:rsidP="00A8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BD2" w:rsidRPr="001E52B5" w:rsidRDefault="004D2BD2" w:rsidP="00A8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385" w:rsidRPr="001E52B5" w:rsidRDefault="00A85385" w:rsidP="00A8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количестве подписей избирателей, представляемых для регистрации</w:t>
      </w:r>
    </w:p>
    <w:p w:rsidR="00A85385" w:rsidRPr="001E52B5" w:rsidRDefault="00A85385" w:rsidP="004D2B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кандидатов в депутаты </w:t>
      </w:r>
      <w:r w:rsidR="004D2BD2" w:rsidRPr="001E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Думы Кожевниковского района</w:t>
      </w:r>
    </w:p>
    <w:p w:rsidR="00A85385" w:rsidRPr="001E52B5" w:rsidRDefault="00A85385" w:rsidP="00A853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385" w:rsidRPr="001E52B5" w:rsidRDefault="00A85385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На основании пунктов 1, 2 статьи 37 Федерального закона «Об основных гарантиях избирательных прав и права на участие в референдуме граждан Российской Федерации», части 2 статьи 32, части 4  статьи 33 Закона Томской области «О муниципальных выборах в Томской области», с учетом числа избирателей, зарегистрированных на территории соответствующих избирательных округов, </w:t>
      </w:r>
    </w:p>
    <w:p w:rsidR="00A85385" w:rsidRPr="001E52B5" w:rsidRDefault="00A85385" w:rsidP="00A8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385" w:rsidRPr="001E52B5" w:rsidRDefault="00A85385" w:rsidP="004D2BD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избирательная комиссия </w:t>
      </w:r>
      <w:r w:rsidR="004D2BD2" w:rsidRPr="001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Кожевниковского района  </w:t>
      </w:r>
      <w:r w:rsidRPr="001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РЕШИЛА:</w:t>
      </w:r>
    </w:p>
    <w:p w:rsidR="004D2BD2" w:rsidRPr="001E52B5" w:rsidRDefault="004D2BD2" w:rsidP="00A8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385" w:rsidRPr="001E52B5" w:rsidRDefault="00A85385" w:rsidP="004D2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1.</w:t>
      </w:r>
      <w:r w:rsidRPr="001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Определить количество подписей избирателей, которое необходимо для регистрации кандидатов в депутаты</w:t>
      </w:r>
      <w:r w:rsidR="004D2BD2" w:rsidRPr="001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Думы Кожевниковского района </w:t>
      </w:r>
      <w:r w:rsidRPr="001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одномандатным (многомандатным) избирательным округам, как 0,5 процента от числа избирателей, зарегистрированных на территории соответствующего избирательного округа</w:t>
      </w:r>
      <w:r w:rsidRPr="001E52B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footnoteReference w:id="1"/>
      </w:r>
      <w:r w:rsidRPr="001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 установить максимальное количество подписей избирателей, представляемых для регистрации указанных кандидатов, в количестве согласно приложению.</w:t>
      </w:r>
    </w:p>
    <w:p w:rsidR="00A85385" w:rsidRPr="001E52B5" w:rsidRDefault="00A85385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710" w:rsidRPr="001E52B5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385" w:rsidRPr="001E52B5" w:rsidRDefault="001E52B5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Председатель </w:t>
      </w:r>
      <w:r w:rsidR="00A85385" w:rsidRPr="001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</w:t>
      </w:r>
      <w:r w:rsidR="00824710" w:rsidRPr="001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                                                                                    А.К. </w:t>
      </w:r>
      <w:proofErr w:type="spellStart"/>
      <w:r w:rsidR="00824710" w:rsidRPr="001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Ибатуллин</w:t>
      </w:r>
      <w:proofErr w:type="spellEnd"/>
    </w:p>
    <w:p w:rsidR="00824710" w:rsidRPr="001E52B5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710" w:rsidRPr="001E52B5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5385" w:rsidRPr="001E52B5" w:rsidRDefault="00A85385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Секретарь комиссии</w:t>
      </w:r>
      <w:r w:rsidR="00824710" w:rsidRPr="001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                                                                                          С.А. </w:t>
      </w:r>
      <w:proofErr w:type="spellStart"/>
      <w:r w:rsidR="00824710" w:rsidRPr="001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Вишникина</w:t>
      </w:r>
      <w:proofErr w:type="spellEnd"/>
    </w:p>
    <w:p w:rsidR="00824710" w:rsidRPr="001E52B5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710" w:rsidRPr="001E52B5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24710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710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710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710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710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710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710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710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710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710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710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710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950A8" w:rsidRDefault="00B950A8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B950A8" w:rsidRDefault="00B950A8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710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710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710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824710" w:rsidRPr="00A85385" w:rsidRDefault="00824710" w:rsidP="00A853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A85385" w:rsidRPr="001E52B5" w:rsidRDefault="00A85385" w:rsidP="001E52B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решению избирательной комиссии</w:t>
      </w:r>
    </w:p>
    <w:p w:rsidR="00A85385" w:rsidRPr="001E52B5" w:rsidRDefault="001E52B5" w:rsidP="001E52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_____________№______</w:t>
      </w:r>
    </w:p>
    <w:p w:rsidR="001E52B5" w:rsidRPr="001E52B5" w:rsidRDefault="001E52B5" w:rsidP="00A85385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385" w:rsidRPr="001E52B5" w:rsidRDefault="00A85385" w:rsidP="00A8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5385" w:rsidRPr="001E52B5" w:rsidRDefault="00A85385" w:rsidP="00A8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подписей избирателей, представляемых для регистрации</w:t>
      </w:r>
    </w:p>
    <w:p w:rsidR="00A85385" w:rsidRPr="001E52B5" w:rsidRDefault="00A85385" w:rsidP="00A8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кандидатов в депутаты</w:t>
      </w:r>
      <w:r w:rsidR="001E52B5" w:rsidRPr="001E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Думы Кожевниковского района</w:t>
      </w:r>
    </w:p>
    <w:p w:rsidR="00A85385" w:rsidRPr="001E52B5" w:rsidRDefault="00A85385" w:rsidP="00A853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5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A85385" w:rsidRPr="001E52B5" w:rsidTr="001E16D0">
        <w:tc>
          <w:tcPr>
            <w:tcW w:w="1914" w:type="dxa"/>
            <w:vAlign w:val="center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 xml:space="preserve">Номер </w:t>
            </w:r>
            <w:proofErr w:type="gramStart"/>
            <w:r w:rsidRPr="001E52B5">
              <w:rPr>
                <w:bCs/>
                <w:sz w:val="24"/>
                <w:szCs w:val="24"/>
              </w:rPr>
              <w:t>избирательного</w:t>
            </w:r>
            <w:proofErr w:type="gramEnd"/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округа</w:t>
            </w:r>
          </w:p>
        </w:tc>
        <w:tc>
          <w:tcPr>
            <w:tcW w:w="1914" w:type="dxa"/>
            <w:vAlign w:val="center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Число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депутатских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мандатов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Общее число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избирателей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в округе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E52B5">
              <w:rPr>
                <w:bCs/>
                <w:sz w:val="24"/>
                <w:szCs w:val="24"/>
              </w:rPr>
              <w:t>(на 1 июля</w:t>
            </w:r>
            <w:proofErr w:type="gramEnd"/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E52B5">
              <w:rPr>
                <w:bCs/>
                <w:sz w:val="24"/>
                <w:szCs w:val="24"/>
              </w:rPr>
              <w:t>2015 года)</w:t>
            </w:r>
            <w:proofErr w:type="gramEnd"/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Количество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подписей,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необходимых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для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регистрации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кандидата</w:t>
            </w:r>
            <w:r w:rsidRPr="001E52B5">
              <w:rPr>
                <w:bCs/>
                <w:sz w:val="24"/>
                <w:szCs w:val="24"/>
                <w:vertAlign w:val="superscript"/>
              </w:rPr>
              <w:footnoteReference w:id="2"/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(0,5%)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Максимальное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количество подписей,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1E52B5">
              <w:rPr>
                <w:bCs/>
                <w:sz w:val="24"/>
                <w:szCs w:val="24"/>
              </w:rPr>
              <w:t>представляемых</w:t>
            </w:r>
            <w:proofErr w:type="gramEnd"/>
            <w:r w:rsidRPr="001E52B5">
              <w:rPr>
                <w:bCs/>
                <w:sz w:val="24"/>
                <w:szCs w:val="24"/>
              </w:rPr>
              <w:t xml:space="preserve"> в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избирательную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комиссию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для регистрации</w:t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кандидата</w:t>
            </w:r>
            <w:r w:rsidRPr="001E52B5">
              <w:rPr>
                <w:bCs/>
                <w:sz w:val="24"/>
                <w:szCs w:val="24"/>
                <w:vertAlign w:val="superscript"/>
              </w:rPr>
              <w:footnoteReference w:id="3"/>
            </w:r>
          </w:p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A85385" w:rsidRPr="001E52B5" w:rsidTr="001E16D0">
        <w:tc>
          <w:tcPr>
            <w:tcW w:w="1914" w:type="dxa"/>
          </w:tcPr>
          <w:p w:rsidR="00824710" w:rsidRPr="001E52B5" w:rsidRDefault="00824710" w:rsidP="008247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24710" w:rsidRPr="001E52B5" w:rsidRDefault="00824710" w:rsidP="0082471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3255</w:t>
            </w:r>
          </w:p>
        </w:tc>
        <w:tc>
          <w:tcPr>
            <w:tcW w:w="1914" w:type="dxa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14</w:t>
            </w:r>
          </w:p>
        </w:tc>
      </w:tr>
      <w:tr w:rsidR="00A85385" w:rsidRPr="001E52B5" w:rsidTr="001E16D0">
        <w:tc>
          <w:tcPr>
            <w:tcW w:w="1914" w:type="dxa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85385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3336</w:t>
            </w:r>
          </w:p>
        </w:tc>
        <w:tc>
          <w:tcPr>
            <w:tcW w:w="1914" w:type="dxa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14</w:t>
            </w:r>
          </w:p>
        </w:tc>
      </w:tr>
      <w:tr w:rsidR="00A85385" w:rsidRPr="001E52B5" w:rsidTr="001E16D0">
        <w:tc>
          <w:tcPr>
            <w:tcW w:w="1914" w:type="dxa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8538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1E52B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A8538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E52B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3174</w:t>
            </w:r>
          </w:p>
        </w:tc>
        <w:tc>
          <w:tcPr>
            <w:tcW w:w="1914" w:type="dxa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E52B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A85385" w:rsidRPr="001E52B5" w:rsidRDefault="00A8538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E52B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14</w:t>
            </w:r>
          </w:p>
        </w:tc>
      </w:tr>
      <w:tr w:rsidR="00824710" w:rsidRPr="001E52B5" w:rsidTr="001E16D0">
        <w:tc>
          <w:tcPr>
            <w:tcW w:w="1914" w:type="dxa"/>
          </w:tcPr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24710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E52B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E52B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3192</w:t>
            </w:r>
          </w:p>
        </w:tc>
        <w:tc>
          <w:tcPr>
            <w:tcW w:w="1914" w:type="dxa"/>
          </w:tcPr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E52B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E52B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14</w:t>
            </w:r>
          </w:p>
        </w:tc>
      </w:tr>
      <w:tr w:rsidR="00824710" w:rsidRPr="001E52B5" w:rsidTr="001E16D0">
        <w:tc>
          <w:tcPr>
            <w:tcW w:w="1914" w:type="dxa"/>
          </w:tcPr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24710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E52B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E52B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2159</w:t>
            </w:r>
          </w:p>
        </w:tc>
        <w:tc>
          <w:tcPr>
            <w:tcW w:w="1914" w:type="dxa"/>
          </w:tcPr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E52B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E52B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14</w:t>
            </w:r>
          </w:p>
        </w:tc>
      </w:tr>
      <w:tr w:rsidR="00824710" w:rsidRPr="001E52B5" w:rsidTr="001E16D0">
        <w:tc>
          <w:tcPr>
            <w:tcW w:w="1914" w:type="dxa"/>
          </w:tcPr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824710" w:rsidRPr="001E52B5" w:rsidRDefault="001E52B5" w:rsidP="001E52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E52B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E52B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1279</w:t>
            </w:r>
          </w:p>
        </w:tc>
        <w:tc>
          <w:tcPr>
            <w:tcW w:w="1914" w:type="dxa"/>
          </w:tcPr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E52B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824710" w:rsidRPr="001E52B5" w:rsidRDefault="00824710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1E52B5" w:rsidRPr="001E52B5" w:rsidRDefault="001E52B5" w:rsidP="00A8538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1E52B5">
              <w:rPr>
                <w:bCs/>
                <w:sz w:val="24"/>
                <w:szCs w:val="24"/>
              </w:rPr>
              <w:t>14</w:t>
            </w:r>
          </w:p>
        </w:tc>
      </w:tr>
    </w:tbl>
    <w:p w:rsidR="00BD1B4D" w:rsidRPr="001E52B5" w:rsidRDefault="00BD1B4D">
      <w:pPr>
        <w:rPr>
          <w:sz w:val="24"/>
          <w:szCs w:val="24"/>
        </w:rPr>
      </w:pPr>
    </w:p>
    <w:sectPr w:rsidR="00BD1B4D" w:rsidRPr="001E5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2FF" w:rsidRDefault="008252FF" w:rsidP="00A85385">
      <w:pPr>
        <w:spacing w:after="0" w:line="240" w:lineRule="auto"/>
      </w:pPr>
      <w:r>
        <w:separator/>
      </w:r>
    </w:p>
  </w:endnote>
  <w:endnote w:type="continuationSeparator" w:id="0">
    <w:p w:rsidR="008252FF" w:rsidRDefault="008252FF" w:rsidP="00A85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2FF" w:rsidRDefault="008252FF" w:rsidP="00A85385">
      <w:pPr>
        <w:spacing w:after="0" w:line="240" w:lineRule="auto"/>
      </w:pPr>
      <w:r>
        <w:separator/>
      </w:r>
    </w:p>
  </w:footnote>
  <w:footnote w:type="continuationSeparator" w:id="0">
    <w:p w:rsidR="008252FF" w:rsidRDefault="008252FF" w:rsidP="00A85385">
      <w:pPr>
        <w:spacing w:after="0" w:line="240" w:lineRule="auto"/>
      </w:pPr>
      <w:r>
        <w:continuationSeparator/>
      </w:r>
    </w:p>
  </w:footnote>
  <w:footnote w:id="1">
    <w:p w:rsidR="00A85385" w:rsidRPr="006B3EDB" w:rsidRDefault="00A85385" w:rsidP="00A8538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C22626">
        <w:rPr>
          <w:rStyle w:val="a6"/>
        </w:rPr>
        <w:footnoteRef/>
      </w:r>
      <w:r w:rsidRPr="00C22626">
        <w:t xml:space="preserve"> </w:t>
      </w:r>
      <w:r w:rsidRPr="006B3EDB">
        <w:rPr>
          <w:sz w:val="16"/>
          <w:szCs w:val="16"/>
        </w:rPr>
        <w:t>Для регистрации кандидата по многомандатному избирательному округу процент определяется от числа избирателей, зарегистрированных на территории соответствующего многомандатного избирательного округа,  поделенного на число депутатских мандатов, но не менее 10 подписей.</w:t>
      </w:r>
    </w:p>
  </w:footnote>
  <w:footnote w:id="2">
    <w:p w:rsidR="00A85385" w:rsidRPr="006B3EDB" w:rsidRDefault="00A85385" w:rsidP="00A85385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6B3EDB">
        <w:rPr>
          <w:rStyle w:val="a6"/>
          <w:sz w:val="16"/>
          <w:szCs w:val="16"/>
        </w:rPr>
        <w:footnoteRef/>
      </w:r>
      <w:r w:rsidRPr="006B3EDB">
        <w:rPr>
          <w:sz w:val="16"/>
          <w:szCs w:val="16"/>
        </w:rPr>
        <w:t xml:space="preserve"> Если при расчете количества подписей избирателей результат расчета оказывается нецелым числом, то такой результат подлежит округлению до ближайшего целого числа в меньшую сторону независимо от величины дробной части, но не может быть менее </w:t>
      </w:r>
      <w:r>
        <w:rPr>
          <w:sz w:val="16"/>
          <w:szCs w:val="16"/>
        </w:rPr>
        <w:t xml:space="preserve">            </w:t>
      </w:r>
      <w:r w:rsidRPr="006B3EDB">
        <w:rPr>
          <w:sz w:val="16"/>
          <w:szCs w:val="16"/>
        </w:rPr>
        <w:t>10 подписей избирателей</w:t>
      </w:r>
    </w:p>
  </w:footnote>
  <w:footnote w:id="3">
    <w:p w:rsidR="00A85385" w:rsidRPr="006B3EDB" w:rsidRDefault="00A85385" w:rsidP="00A85385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6B3EDB">
        <w:rPr>
          <w:rStyle w:val="a6"/>
          <w:sz w:val="16"/>
          <w:szCs w:val="16"/>
        </w:rPr>
        <w:footnoteRef/>
      </w:r>
      <w:r w:rsidRPr="006B3EDB">
        <w:rPr>
          <w:sz w:val="16"/>
          <w:szCs w:val="16"/>
        </w:rPr>
        <w:t xml:space="preserve"> </w:t>
      </w:r>
      <w:r w:rsidRPr="006B3EDB">
        <w:rPr>
          <w:bCs/>
          <w:sz w:val="16"/>
          <w:szCs w:val="16"/>
        </w:rPr>
        <w:t>Может превышать необходимое для регистрации количество подписей избирателей, но не более чем на 10</w:t>
      </w:r>
      <w:r>
        <w:rPr>
          <w:bCs/>
          <w:sz w:val="16"/>
          <w:szCs w:val="16"/>
        </w:rPr>
        <w:t xml:space="preserve"> </w:t>
      </w:r>
      <w:r w:rsidRPr="006B3EDB">
        <w:rPr>
          <w:bCs/>
          <w:sz w:val="16"/>
          <w:szCs w:val="16"/>
        </w:rPr>
        <w:t>процентов. Если требуется представить менее 40 подписей, количество представляемых подписей может превышать количество необходимых для регистрации не более чем на 4 подписи.</w:t>
      </w:r>
    </w:p>
    <w:p w:rsidR="00A85385" w:rsidRPr="00D40B71" w:rsidRDefault="00A85385" w:rsidP="00A85385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A85385" w:rsidRDefault="00A85385" w:rsidP="00A85385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385"/>
    <w:rsid w:val="000B24ED"/>
    <w:rsid w:val="001E52B5"/>
    <w:rsid w:val="004D2BD2"/>
    <w:rsid w:val="005B1EB2"/>
    <w:rsid w:val="007469BE"/>
    <w:rsid w:val="00824710"/>
    <w:rsid w:val="008252FF"/>
    <w:rsid w:val="00A85385"/>
    <w:rsid w:val="00B950A8"/>
    <w:rsid w:val="00BD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A8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85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853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A85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A853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A853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D7993-D7F4-41B9-8B1B-607234CE0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2015-07-02T07:24:00Z</dcterms:created>
  <dcterms:modified xsi:type="dcterms:W3CDTF">2015-07-07T03:46:00Z</dcterms:modified>
</cp:coreProperties>
</file>