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05"/>
        <w:jc w:val="both"/>
        <w:rPr>
          <w:rStyle w:val="211"/>
          <w:sz w:val="28"/>
        </w:rPr>
      </w:pPr>
      <w:r>
        <w:rPr>
          <w:rStyle w:val="211"/>
          <w:sz w:val="28"/>
        </w:rPr>
        <w:t xml:space="preserve">УСЫНОВЛЕНИЕ</w:t>
      </w:r>
      <w:r>
        <w:rPr>
          <w:rStyle w:val="211"/>
          <w:sz w:val="2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b/>
          <w:bCs/>
          <w:sz w:val="18"/>
          <w:szCs w:val="18"/>
        </w:rPr>
        <w:t xml:space="preserve">Усыновление</w:t>
      </w:r>
      <w:r>
        <w:rPr>
          <w:rFonts w:ascii="Verdana" w:hAnsi="Verdana"/>
          <w:sz w:val="18"/>
          <w:szCs w:val="18"/>
        </w:rPr>
        <w:t xml:space="preserve"> - принятие в семью ребенка на правах кровного со всеми вытекающими отсюда правами и обязанностями. Усыновление устанавливается гражданским судом.</w:t>
      </w:r>
      <w:r/>
    </w:p>
    <w:p>
      <w:pPr>
        <w:pStyle w:val="213"/>
      </w:pPr>
      <w:r/>
      <w:r/>
    </w:p>
    <w:p>
      <w:pPr>
        <w:pStyle w:val="21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"Семейный кодекс Российской Федерации" от 29.12.1995 N 223-ФЗ (ред. от 25.11.2013, с изм. от 31.01.2014)</w:t>
      </w:r>
      <w:r/>
    </w:p>
    <w:p>
      <w:pPr>
        <w:pStyle w:val="213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  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 (Ст.123.1).</w:t>
      </w:r>
      <w:r>
        <w:rPr>
          <w:color w:val="000000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Усыновление или удочерение (далее - усыновление) является приоритетной формой устройства детей, оставшихся без попечения родителей (Ст.124.п.1). </w:t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 Усыновление допускается в отношении несовершеннолетних детей и только в их интересах (Ст.124.2).</w:t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"http://edu.tomsk.gov.ru/ovsrd/usynvl/zakon/pp_rf_275_29-03-00.txt" \o "в ред. Постановления РФ от  от 11.04.2006 N 210" \t "_blank"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210"/>
          <w:rFonts w:ascii="Verdana" w:hAnsi="Verdana"/>
          <w:b/>
          <w:bCs/>
          <w:sz w:val="18"/>
          <w:szCs w:val="18"/>
        </w:rPr>
        <w:t xml:space="preserve">"Правила передачи детей на усыновление (удочерение) и осуществления контроля за условиями жизни и воспитания в семьях усыновителей на территории РФ"от 29 марта 2000 года № 275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  <w:u w:val="single"/>
        </w:rPr>
        <w:t xml:space="preserve"> (ред. от 10.02.2014)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Усыновление допускается в отношении</w:t>
      </w:r>
      <w:r>
        <w:rPr>
          <w:rFonts w:ascii="Verdana" w:hAnsi="Verdana"/>
          <w:sz w:val="18"/>
          <w:szCs w:val="18"/>
        </w:rPr>
        <w:t xml:space="preserve"> (гл.1.п.2)</w:t>
      </w:r>
      <w:r/>
    </w:p>
    <w:p>
      <w:pPr>
        <w:pStyle w:val="20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несовершеннолетних детей, единственный родитель или оба родителя которых: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умерли;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неизвестны, судом признаны безвестно отсутствующими или объявлены умершими;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признаны судом недееспособными;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лишены судом родительских прав;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дали в установленном порядке согласие на усыновление;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 причинам, признанным судом неуважительными, не проживают более 6 месяцев совместно с ребенком и уклоняются от его воспитания и содержания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Усыновителями могут быть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(гл.1.п.3)</w:t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совершеннолетние ли</w:t>
      </w:r>
      <w:r>
        <w:rPr>
          <w:rFonts w:ascii="Verdana" w:hAnsi="Verdana"/>
          <w:sz w:val="18"/>
          <w:szCs w:val="18"/>
        </w:rPr>
        <w:t xml:space="preserve">ца обоего пола, за исключением:</w:t>
      </w:r>
      <w:r/>
    </w:p>
    <w:p>
      <w:pPr>
        <w:pStyle w:val="205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признанных судом недееспособными или ограниченно дееспособными;</w:t>
      </w:r>
      <w:r/>
    </w:p>
    <w:p>
      <w:pPr>
        <w:pStyle w:val="205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супругов, один из которых признан судом недееспособным или ограниченно дееспособным;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лишенных по суду родительских прав или ограниченных судом в родительских правах;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отстраненных от обязанностей опекуна (попечителя) за ненадлежащее выполнение обязанностей, возложенных на него законом;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бывших усыновителей, если усыновление отменено судом по их вине;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которые по состоянию здоровья не могут осуществлять родительские права;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3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не имеющих постоянного места жительства;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умерли</w:t>
      </w:r>
      <w:r/>
    </w:p>
    <w:p>
      <w:pPr>
        <w:pStyle w:val="205"/>
        <w:numPr>
          <w:ilvl w:val="1"/>
          <w:numId w:val="3"/>
        </w:numPr>
        <w:ind w:left="720"/>
        <w:jc w:val="both"/>
        <w:tabs>
          <w:tab w:val="left" w:pos="720" w:leader="none"/>
          <w:tab w:val="clear" w:pos="144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имеющих или имевших судимость, подвергающихся или подвергавшихся уголовному преследованию (за исключением лиц, уголовное пресл</w:t>
      </w:r>
      <w:r>
        <w:rPr>
          <w:rFonts w:ascii="Verdana" w:hAnsi="Verdana"/>
          <w:sz w:val="18"/>
          <w:szCs w:val="18"/>
        </w:rPr>
        <w:t xml:space="preserve">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</w:t>
      </w:r>
      <w:r>
        <w:rPr>
          <w:rFonts w:ascii="Verdana" w:hAnsi="Verdana"/>
          <w:sz w:val="18"/>
          <w:szCs w:val="18"/>
        </w:rPr>
        <w:t xml:space="preserve">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  <w:r/>
    </w:p>
    <w:p>
      <w:pPr>
        <w:pStyle w:val="205"/>
        <w:numPr>
          <w:ilvl w:val="1"/>
          <w:numId w:val="3"/>
        </w:numPr>
        <w:ind w:left="720"/>
        <w:jc w:val="both"/>
        <w:tabs>
          <w:tab w:val="left" w:pos="720" w:leader="none"/>
          <w:tab w:val="clear" w:pos="144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не прошедших подготовку в порядке, установленном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consultantplus://offline/ref=BCCD9E8409F20AB2B845D8FB786F4A2E6ACC4E09DD7A26D6590965F6B04A9AF064F8DB8AF0P0y1E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пунктом 4 статьи 127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Семейного кодекса Российской Федерации (кроме близких родственников ребенк</w:t>
      </w:r>
      <w:r>
        <w:rPr>
          <w:rFonts w:ascii="Verdana" w:hAnsi="Verdana"/>
          <w:sz w:val="18"/>
          <w:szCs w:val="18"/>
        </w:rPr>
        <w:t xml:space="preserve">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r/>
    </w:p>
    <w:p>
      <w:pPr>
        <w:pStyle w:val="205"/>
        <w:numPr>
          <w:ilvl w:val="1"/>
          <w:numId w:val="3"/>
        </w:numPr>
        <w:ind w:left="720"/>
        <w:jc w:val="both"/>
        <w:tabs>
          <w:tab w:val="left" w:pos="720" w:leader="none"/>
          <w:tab w:val="clear" w:pos="144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лиц, </w:t>
      </w:r>
      <w:r>
        <w:rPr>
          <w:rFonts w:ascii="Verdana" w:hAnsi="Verdana"/>
          <w:sz w:val="18"/>
          <w:szCs w:val="18"/>
        </w:rPr>
        <w:t xml:space="preserve">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  <w:r/>
    </w:p>
    <w:p>
      <w:pPr>
        <w:pStyle w:val="205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Необходимые документы</w:t>
      </w:r>
      <w:r>
        <w:rPr>
          <w:rFonts w:ascii="Verdana" w:hAnsi="Verdana"/>
          <w:sz w:val="18"/>
          <w:szCs w:val="18"/>
        </w:rPr>
        <w:t xml:space="preserve"> (гл.2.п.6):</w:t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краткая автобиография;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</w:t>
      </w:r>
      <w:r>
        <w:rPr>
          <w:rFonts w:ascii="Verdana" w:hAnsi="Verdana"/>
          <w:sz w:val="18"/>
          <w:szCs w:val="18"/>
        </w:rPr>
        <w:t xml:space="preserve">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 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справка органов внутренних дел, подтверждающая отсутствие обстоятельств, указанных в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consultantplus://offline/ref=0338585497E8E0AFB5521599A8596C5A52AE3431D8E2A04D3C22931587440F83DBB35669p2D8F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подпункте 9 пункта 3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настоящих Правил;</w:t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consultantplus://offline/ref=DF5F03307541754A1AF034769AF3937AE23E8C9EE49B42261391194713393A8536C97D2D4ACF78DFEFF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медицинское заключение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медицинской организации о состоянии здоровья лица, желающего усыновить ребенка, оформленное в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consultantplus://offline/ref=DF5F03307541754A1AF034769AF3937AE23E8C9EE49B42261391194713393A8536C97D2D4ACF79DFEBF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порядке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установленном Министерством здравоохранения Российской Федерации;</w:t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копия свидетельства о браке (если состоят в браке).</w:t>
      </w: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копия свидетельства или иного документа о прохождении подготовки лица, желающего усыновить ребенка, в порядке, установленном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consultantplus://offline/ref=DC176ECBCC3B7F15478F0E804E339DF465BC6B386B9385BEC817C03786FDA2541A121E1A87y5G0F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пунктом 4 статьи 127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Семейного кодекса Российской Федерации (кроме близких родственников детей</w:t>
      </w:r>
      <w:r>
        <w:rPr>
          <w:rFonts w:ascii="Verdana" w:hAnsi="Verdana"/>
          <w:sz w:val="18"/>
          <w:szCs w:val="18"/>
        </w:rPr>
        <w:t xml:space="preserve">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consultantplus://offline/ref=DC176ECBCC3B7F15478F0E804E339DF465BA6B3A679085BEC817C03786FDA2541A121E1A8758A44ByCGDF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Форма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свидетельства утверждается Министерством образования и науки Российской Федерации;</w:t>
      </w:r>
      <w:r/>
    </w:p>
    <w:p>
      <w:pPr>
        <w:pStyle w:val="205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копия пенсионного удостоверения, справка из территориал</w:t>
      </w:r>
      <w:r>
        <w:rPr>
          <w:rFonts w:ascii="Verdana" w:hAnsi="Verdana"/>
          <w:sz w:val="18"/>
          <w:szCs w:val="18"/>
        </w:rPr>
        <w:t xml:space="preserve">ьного органа Пенсионного фонда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</w:instrText>
      </w:r>
      <w:r>
        <w:rPr>
          <w:rFonts w:ascii="Verdana" w:hAnsi="Verdana"/>
          <w:sz w:val="18"/>
          <w:szCs w:val="18"/>
        </w:rPr>
        <w:instrText xml:space="preserve">HYPERLINK "http://edu.tomsk.gov.ru/ovsrd/usynvl/zakon/tk_197_fz_30-12-01.txt" \o "(в ред. Федерального закона от 30.06.2006 N 90-ФЗ,с изм., внесенными Постановлением Конституционного Суда РФ от 15.03.2005 N 3-П, Определением Конституционного Суда РФ от 11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210"/>
          <w:rFonts w:ascii="Verdana" w:hAnsi="Verdana"/>
          <w:b/>
          <w:bCs/>
          <w:sz w:val="18"/>
          <w:szCs w:val="18"/>
        </w:rPr>
        <w:t xml:space="preserve">Трудово</w:t>
      </w:r>
      <w:bookmarkStart w:id="0" w:name="_Hlt154809889"/>
      <w:r/>
      <w:bookmarkStart w:id="1" w:name="_Hlt154809890"/>
      <w:r>
        <w:rPr>
          <w:rStyle w:val="210"/>
          <w:rFonts w:ascii="Verdana" w:hAnsi="Verdana"/>
          <w:b/>
          <w:bCs/>
          <w:sz w:val="18"/>
          <w:szCs w:val="18"/>
        </w:rPr>
        <w:t xml:space="preserve">й</w:t>
      </w:r>
      <w:bookmarkEnd w:id="0"/>
      <w:r/>
      <w:bookmarkEnd w:id="1"/>
      <w:r>
        <w:rPr>
          <w:rStyle w:val="210"/>
          <w:rFonts w:ascii="Verdana" w:hAnsi="Verdana"/>
          <w:b/>
          <w:bCs/>
          <w:sz w:val="18"/>
          <w:szCs w:val="18"/>
        </w:rPr>
        <w:t xml:space="preserve"> Кодекс ТФ от 30 декабря 2001 года N 197-ФЗ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 xml:space="preserve">(ред. от 28.12.2013)</w:t>
      </w:r>
      <w:r>
        <w:rPr>
          <w:rFonts w:ascii="Verdana" w:hAnsi="Verdana"/>
          <w:b/>
          <w:sz w:val="18"/>
          <w:szCs w:val="18"/>
          <w:u w:val="single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/>
      <w:bookmarkStart w:id="2" w:name="Par0"/>
      <w:r/>
      <w:bookmarkEnd w:id="2"/>
      <w:r>
        <w:rPr>
          <w:rFonts w:ascii="Verdana" w:hAnsi="Verdana"/>
          <w:sz w:val="18"/>
          <w:szCs w:val="18"/>
        </w:rPr>
        <w:t xml:space="preserve"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 желанию работников, усыновивших ребенка (детей), им предоставляется отпуск по уходу за ребенком до достижения им (ими) возраста трех лет.</w:t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случае усыновления ребенка (детей) обоими супругами указанные отпуска предоставляются одному из супругов по их усмотрению.</w:t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Женщинам, усыновившим ребенка, по их желанию вместо отпуска, указанного в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\l Par0 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части первой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   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"http://edu.tomsk.gov.ru/ovsrd/usynvl/zakon/pp_rf_719_11-10-2001.txt" \o "(в ред. Постановлений Правительства РФ от 19.07.2002 N 541, от 01.02.2005 N 49)" \t "_blank"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210"/>
          <w:rFonts w:ascii="Verdana" w:hAnsi="Verdana"/>
          <w:b/>
          <w:bCs/>
          <w:sz w:val="18"/>
          <w:szCs w:val="18"/>
        </w:rPr>
        <w:t xml:space="preserve">Порядок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предоставления указанных отпусков, обеспечивающий сохранение тайны усыновления, устанавливается Правительством Российской Федерации. </w:t>
      </w:r>
      <w:r/>
    </w:p>
    <w:p>
      <w:pPr>
        <w:pStyle w:val="205"/>
        <w:ind w:firstLine="5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В случае усыновления ребенка-инвалида</w:t>
      </w:r>
      <w:r>
        <w:rPr>
          <w:rFonts w:ascii="Verdana" w:hAnsi="Verdana"/>
          <w:bCs/>
          <w:sz w:val="18"/>
          <w:szCs w:val="18"/>
        </w:rPr>
        <w:t xml:space="preserve">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 (Федеральный закон от 19.05.1995 N 81-ФЗ (ред. от 02.07.2013) "О государственных пособиях).</w:t>
      </w:r>
      <w:r/>
    </w:p>
    <w:p>
      <w:pPr>
        <w:pStyle w:val="20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Куда обращаться </w:t>
      </w:r>
      <w:r/>
    </w:p>
    <w:p>
      <w:pPr>
        <w:pStyle w:val="205"/>
        <w:numPr>
          <w:ilvl w:val="0"/>
          <w:numId w:val="21"/>
        </w:numPr>
        <w:ind w:left="540"/>
        <w:jc w:val="both"/>
        <w:tabs>
          <w:tab w:val="left" w:pos="540" w:leader="none"/>
          <w:tab w:val="clear" w:pos="126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Орган опеки и попечительства дает разъяснения гражданам Российской Федерации по вопросам, связанным с усыновлением, а также обеспечивает информирование граждан, желающих усыновить либо принять ребенка, оставшегося без попечен</w:t>
      </w:r>
      <w:r>
        <w:rPr>
          <w:rFonts w:ascii="Verdana" w:hAnsi="Verdana"/>
          <w:sz w:val="18"/>
          <w:szCs w:val="18"/>
        </w:rPr>
        <w:t xml:space="preserve">ия родителей, на воспитание в семью, о детях, оставшихся без попечения родителей, состоящих на учете,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</w:t>
      </w:r>
      <w:r>
        <w:rPr>
          <w:rFonts w:ascii="Verdana" w:hAnsi="Verdana"/>
          <w:sz w:val="18"/>
          <w:szCs w:val="18"/>
        </w:rPr>
        <w:t xml:space="preserve">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а также оказывает содействие в подготовке таких документов.</w:t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В Кожевниковском районе – </w:t>
      </w:r>
      <w:r>
        <w:rPr>
          <w:rFonts w:ascii="Verdana" w:hAnsi="Verdana"/>
          <w:bCs/>
          <w:sz w:val="18"/>
          <w:szCs w:val="18"/>
        </w:rPr>
        <w:t xml:space="preserve">отдел опеки и попечительства Администрации Кожевниковского района с. Кожевниково, ул. Гагарина, д. 17, каб. 29,30. часы приёма пн.,ср., с 9.00 до 17.00, обед с 13.00 до 14.00.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тел. 22715, 23191.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28"/>
          <w:szCs w:val="17"/>
        </w:rPr>
      </w:pPr>
      <w:r>
        <w:rPr>
          <w:rFonts w:ascii="Verdana" w:hAnsi="Verdana"/>
          <w:sz w:val="18"/>
          <w:szCs w:val="18"/>
        </w:rPr>
        <w:br w:type="page"/>
      </w:r>
      <w:r>
        <w:rPr>
          <w:rStyle w:val="211"/>
          <w:sz w:val="28"/>
        </w:rPr>
        <w:t xml:space="preserve">  ОПЕКА (ПОПЕЧИТЕЛЬСТВО)</w:t>
      </w:r>
      <w:r>
        <w:rPr>
          <w:rStyle w:val="211"/>
          <w:sz w:val="28"/>
        </w:rPr>
        <w:t xml:space="preserve">- безвозмездная и возмездная опека</w:t>
      </w:r>
      <w:r>
        <w:rPr>
          <w:rFonts w:ascii="Verdana" w:hAnsi="Verdana"/>
          <w:sz w:val="28"/>
          <w:szCs w:val="17"/>
        </w:rPr>
      </w:r>
      <w:r/>
    </w:p>
    <w:p>
      <w:pPr>
        <w:pStyle w:val="205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</w:r>
      <w:r/>
    </w:p>
    <w:p>
      <w:pPr>
        <w:pStyle w:val="205"/>
        <w:ind w:firstLine="5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Опека и попечительство</w:t>
      </w:r>
      <w:r>
        <w:rPr>
          <w:rFonts w:ascii="Verdana" w:hAnsi="Verdana"/>
          <w:sz w:val="18"/>
          <w:szCs w:val="18"/>
        </w:rPr>
        <w:t xml:space="preserve">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</w:t>
      </w:r>
      <w:r>
        <w:rPr>
          <w:rFonts w:ascii="Verdana" w:hAnsi="Verdana"/>
          <w:bCs/>
          <w:sz w:val="18"/>
          <w:szCs w:val="18"/>
        </w:rPr>
        <w:t xml:space="preserve">Опека устанавливается над детьми, не достигшими возраста четырнадцати лет.</w:t>
      </w:r>
      <w:r>
        <w:rPr>
          <w:rFonts w:ascii="Verdana" w:hAnsi="Verdana"/>
          <w:bCs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Попечительство устанавливается над детьми в возрасте от четырнадцати до восемнадцати лет.</w:t>
      </w:r>
      <w:r>
        <w:rPr>
          <w:rFonts w:ascii="Verdana" w:hAnsi="Verdana"/>
          <w:bCs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</w:r>
      <w:r/>
    </w:p>
    <w:p>
      <w:pPr>
        <w:pStyle w:val="205"/>
        <w:jc w:val="both"/>
        <w:rPr>
          <w:rFonts w:ascii="Verdana" w:hAnsi="Verdana"/>
          <w:b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fldChar w:fldCharType="begin"/>
      </w:r>
      <w:r>
        <w:rPr>
          <w:rFonts w:ascii="Verdana" w:hAnsi="Verdana"/>
          <w:sz w:val="17"/>
          <w:szCs w:val="17"/>
        </w:rPr>
        <w:instrText xml:space="preserve"> HYPERLINK "http://edu.tomsk.gov.ru/ovsrd/usynvl/zakon/sk_223_fz_19-12-95.txt" \o "в ред. ФЗ от 03.06.2006 N 71-ФЗ" \t "_blank" </w:instrText>
      </w:r>
      <w:r>
        <w:rPr>
          <w:rFonts w:ascii="Verdana" w:hAnsi="Verdana"/>
          <w:sz w:val="17"/>
          <w:szCs w:val="17"/>
        </w:rPr>
        <w:fldChar w:fldCharType="separate"/>
      </w:r>
      <w:r>
        <w:rPr>
          <w:rStyle w:val="210"/>
          <w:rFonts w:ascii="Verdana" w:hAnsi="Verdana"/>
          <w:b/>
          <w:bCs/>
          <w:sz w:val="17"/>
          <w:szCs w:val="17"/>
        </w:rPr>
        <w:t xml:space="preserve">Семейный Кодекс РФ от 29 декабря 1995 года</w:t>
      </w:r>
      <w:r>
        <w:rPr>
          <w:rFonts w:ascii="Verdana" w:hAnsi="Verdana"/>
          <w:sz w:val="17"/>
          <w:szCs w:val="17"/>
        </w:rPr>
        <w:fldChar w:fldCharType="end"/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  <w:u w:val="single"/>
        </w:rPr>
        <w:t xml:space="preserve">(ред. от 25.11.2013, с изм. от 31.01.2014)</w:t>
      </w:r>
      <w:r>
        <w:rPr>
          <w:rFonts w:ascii="Verdana" w:hAnsi="Verdana"/>
          <w:b/>
          <w:sz w:val="17"/>
          <w:szCs w:val="17"/>
          <w:u w:val="single"/>
        </w:rPr>
      </w:r>
      <w:r/>
    </w:p>
    <w:p>
      <w:pPr>
        <w:pStyle w:val="205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</w:r>
      <w:r/>
    </w:p>
    <w:p>
      <w:pPr>
        <w:pStyle w:val="205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Не назначаются опекунами (попечителями)</w:t>
      </w:r>
      <w:r>
        <w:rPr>
          <w:rFonts w:ascii="Verdana" w:hAnsi="Verdana"/>
          <w:sz w:val="17"/>
          <w:szCs w:val="17"/>
        </w:rPr>
        <w:t xml:space="preserve"> (ст. 146</w:t>
      </w:r>
      <w:r>
        <w:rPr>
          <w:rFonts w:ascii="Verdana" w:hAnsi="Verdana"/>
          <w:sz w:val="17"/>
          <w:szCs w:val="17"/>
        </w:rPr>
        <w:t xml:space="preserve">):</w:t>
      </w:r>
      <w:r/>
    </w:p>
    <w:p>
      <w:pPr>
        <w:pStyle w:val="205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лица, лишенные родительских прав;</w:t>
      </w:r>
      <w:r/>
    </w:p>
    <w:p>
      <w:pPr>
        <w:pStyle w:val="205"/>
        <w:numPr>
          <w:ilvl w:val="0"/>
          <w:numId w:val="9"/>
        </w:numPr>
        <w:jc w:val="both"/>
      </w:pPr>
      <w:r>
        <w:rPr>
          <w:rFonts w:ascii="Verdana" w:hAnsi="Verdana"/>
          <w:sz w:val="18"/>
          <w:szCs w:val="18"/>
        </w:rPr>
        <w:t xml:space="preserve">лица, имеющие или имевшие судимость, подве</w:t>
      </w:r>
      <w:r>
        <w:rPr>
          <w:rFonts w:ascii="Verdana" w:hAnsi="Verdana"/>
          <w:sz w:val="18"/>
          <w:szCs w:val="18"/>
        </w:rPr>
        <w:t xml:space="preserve">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</w:t>
      </w:r>
      <w:r>
        <w:rPr>
          <w:rFonts w:ascii="Verdana" w:hAnsi="Verdana"/>
          <w:sz w:val="18"/>
          <w:szCs w:val="18"/>
        </w:rPr>
        <w:t xml:space="preserve">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r/>
    </w:p>
    <w:p>
      <w:pPr>
        <w:pStyle w:val="205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лица, имеющие неснятую или непогашенную судимость за тяжкие или особо тяжкие преступления;</w:t>
      </w:r>
      <w:r/>
    </w:p>
    <w:p>
      <w:pPr>
        <w:pStyle w:val="205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лица, не прошедшие подготовки в порядке, установленном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consultantplus://offline/ref=7AC5FA05B95596F0430D9C850127ADBF3E7C7EC54FF2388885E85AD17382438EEF656F962DfDLDJ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пунктом 4 статьи 127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настоящего Кодекса (кроме близких родственников дете</w:t>
      </w:r>
      <w:r>
        <w:rPr>
          <w:rFonts w:ascii="Verdana" w:hAnsi="Verdana"/>
          <w:sz w:val="18"/>
          <w:szCs w:val="18"/>
        </w:rPr>
        <w:t xml:space="preserve">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r/>
    </w:p>
    <w:p>
      <w:pPr>
        <w:pStyle w:val="205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лица, с</w:t>
      </w:r>
      <w:r>
        <w:rPr>
          <w:rFonts w:ascii="Verdana" w:hAnsi="Verdana"/>
          <w:sz w:val="18"/>
          <w:szCs w:val="18"/>
        </w:rPr>
        <w:t xml:space="preserve">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18"/>
          <w:szCs w:val="17"/>
        </w:rPr>
      </w:pPr>
      <w:r>
        <w:rPr>
          <w:rFonts w:ascii="Verdana" w:hAnsi="Verdana"/>
          <w:b/>
          <w:bCs/>
          <w:sz w:val="18"/>
          <w:szCs w:val="17"/>
        </w:rPr>
        <w:t xml:space="preserve">Необходимые документы:</w:t>
      </w:r>
      <w:r>
        <w:rPr>
          <w:rFonts w:ascii="Verdana" w:hAnsi="Verdana"/>
          <w:sz w:val="18"/>
          <w:szCs w:val="17"/>
        </w:rPr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заявление с просьбой о назначении его опекуном</w:t>
      </w:r>
      <w:r>
        <w:rPr>
          <w:rFonts w:ascii="Verdana" w:hAnsi="Verdana"/>
          <w:sz w:val="18"/>
          <w:szCs w:val="17"/>
        </w:rPr>
        <w:t xml:space="preserve">;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</w:t>
      </w:r>
      <w:r>
        <w:rPr>
          <w:rFonts w:ascii="Verdana" w:hAnsi="Verdana"/>
          <w:sz w:val="18"/>
          <w:szCs w:val="18"/>
        </w:rPr>
        <w:t xml:space="preserve">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consultantplus://offline/ref=5C4EC0BFE53A98844E116E816EADCDCE8B6D90CE998C81CFF2B53C4D33C7CD453328F0E6I1bCH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пунктом 1 статьи 146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Семейного кодекса Российской Федерации;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consultantplus://offline/ref=C1BB11E9F95F27A9356E1B27E1A593E3E3282C9FE18B8A41F834834BE34C523982FEBDE73A3958QAcAH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порядке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устанавливаемом Министерством здравоохранения Российской Федерации;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копия свидетельства о браке (если гражданин, выразивший желание стать опекуном, состоит в браке);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consultantplus://offline/ref=CD83C2F0475F93000C103C2A59E3A1DB4617590DD155A8C52158BE301F27C8ABE7327B512508e6H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пунктом 4 статьи 127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Семейного кодекса Российской Федерации (кроме близких родственников дете</w:t>
      </w:r>
      <w:r>
        <w:rPr>
          <w:rFonts w:ascii="Verdana" w:hAnsi="Verdana"/>
          <w:sz w:val="18"/>
          <w:szCs w:val="18"/>
        </w:rPr>
        <w:t xml:space="preserve">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автобиография;</w:t>
      </w:r>
      <w:r/>
    </w:p>
    <w:p>
      <w:pPr>
        <w:pStyle w:val="205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копия пенсионного удостоверения, справка из территориал</w:t>
      </w:r>
      <w:r>
        <w:rPr>
          <w:rFonts w:ascii="Verdana" w:hAnsi="Verdana"/>
          <w:sz w:val="18"/>
          <w:szCs w:val="18"/>
        </w:rPr>
        <w:t xml:space="preserve">ьного органа Пенсионного фонда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 назначении ребенку опекуна (попечителя) учитываются нравственные и иные лич</w:t>
      </w:r>
      <w:r>
        <w:rPr>
          <w:rFonts w:ascii="Verdana" w:hAnsi="Verdana"/>
          <w:sz w:val="18"/>
          <w:szCs w:val="18"/>
        </w:rPr>
        <w:t xml:space="preserve">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</w:t>
      </w:r>
      <w:r>
        <w:rPr>
          <w:rFonts w:ascii="Verdana" w:hAnsi="Verdana"/>
          <w:sz w:val="18"/>
          <w:szCs w:val="18"/>
        </w:rPr>
        <w:t xml:space="preserve">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HYPERLINK consultantplus://offline/ref=4DC91CC9A6FB324CFD22677F49BC2D97F203F352EA75B2999812788551370969F702534BAD7594254BP6H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пункт 1 статьи 127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настоящего Кодекса).</w:t>
      </w:r>
      <w:r/>
    </w:p>
    <w:p>
      <w:pPr>
        <w:pStyle w:val="205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</w:r>
      <w:r/>
    </w:p>
    <w:p>
      <w:pPr>
        <w:pStyle w:val="205"/>
        <w:ind w:left="18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"http://edu.tomsk.gov.ru/ovsrd/usynvl/zakon/z_to_247_oz_15-12-04.txt" \o "в ред Закона Томской области от 29.12.2005, № 236" \t "_blank"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210"/>
          <w:rFonts w:ascii="Verdana" w:hAnsi="Verdana"/>
          <w:b/>
          <w:bCs/>
          <w:sz w:val="18"/>
          <w:szCs w:val="18"/>
        </w:rPr>
        <w:t xml:space="preserve">Закон Томской области «О размере и порядке выплаты опекуну (попечителю) и приемной семье денежных средств на содержание ребенка (детей)» от 15 декабря 2004 года, № 247-ОЗ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Размер денежных средств, выплачиваемых опекуну (попечителю) и приемной семье на содержание ребенка (детей), составляет:</w:t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6833</w:t>
      </w:r>
      <w:r>
        <w:rPr>
          <w:rFonts w:ascii="Verdana" w:hAnsi="Verdana"/>
          <w:sz w:val="18"/>
          <w:szCs w:val="18"/>
        </w:rPr>
        <w:t xml:space="preserve"> (с учётом инфляций на 2014г. размер составляет 8100 руб.)</w:t>
      </w:r>
      <w:r>
        <w:rPr>
          <w:rFonts w:ascii="Verdana" w:hAnsi="Verdana"/>
          <w:sz w:val="18"/>
          <w:szCs w:val="18"/>
        </w:rPr>
        <w:t xml:space="preserve"> рубля на одного ребенка в месяц по муниципальным образованиям: "Александровский район", "Бакчарский район", "Верхнекетский район", "Каргасокский район", "Колпашевский райо</w:t>
      </w:r>
      <w:r>
        <w:rPr>
          <w:rFonts w:ascii="Verdana" w:hAnsi="Verdana"/>
          <w:sz w:val="18"/>
          <w:szCs w:val="18"/>
        </w:rPr>
        <w:t xml:space="preserve">н", "Кривошеинский район", "Молчановский район", "Парабельский район", "Тегульдетский район", "Чаинский район", "Городской округ Стрежевой", "Город Кедровый", "Городской округ - закрытое административно-территориальное образование Северск Томской области";</w:t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5609 рублей на одного ребенка в месяц по муниципальным образованиям: "Асиновский район", "Зырянский район", "Кожевниковский район", "Первомайский район", "Томский район", "Шегарский район", "Город Томск".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Выплата указанных денежных средств осуществляется без начисления районного коэффициента, применяемого для расчета заработной платы работников организаций, расположенных в районах Крайнего Севера и приравненных к ним местностях.</w:t>
      </w:r>
      <w:r/>
    </w:p>
    <w:p>
      <w:pPr>
        <w:pStyle w:val="205"/>
        <w:ind w:firstLine="5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Размер денежных средств один раз в год подлежит индексации, исходя из индекса потребительских цен, используемого для планирования бюджетных ассигнований областного бюджета на очередной финансовый год и на пла</w:t>
      </w:r>
      <w:r>
        <w:rPr>
          <w:rFonts w:ascii="Verdana" w:hAnsi="Verdana"/>
          <w:bCs/>
          <w:sz w:val="18"/>
          <w:szCs w:val="18"/>
        </w:rPr>
        <w:t xml:space="preserve">новый период. При индексации сумма ежемесячной денежной выплаты округляется до целого рубля (округление производится по правилам математического округления, а именно: суммы менее 50 копеек отбрасываются, а 50 копеек и более - округляются до полного рубля).</w:t>
      </w:r>
      <w:r>
        <w:rPr>
          <w:rFonts w:ascii="Verdana" w:hAnsi="Verdana"/>
          <w:bCs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</w:t>
      </w:r>
      <w:r>
        <w:rPr>
          <w:rFonts w:ascii="Verdana" w:hAnsi="Verdana"/>
          <w:sz w:val="18"/>
          <w:szCs w:val="18"/>
        </w:rPr>
        <w:t xml:space="preserve">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</w:t>
      </w:r>
      <w:r>
        <w:rPr>
          <w:rFonts w:ascii="Verdana" w:hAnsi="Verdana"/>
          <w:sz w:val="18"/>
          <w:szCs w:val="18"/>
        </w:rPr>
        <w:t xml:space="preserve">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</w:t>
      </w:r>
      <w:r>
        <w:rPr>
          <w:rFonts w:ascii="Verdana" w:hAnsi="Verdana"/>
          <w:sz w:val="18"/>
          <w:szCs w:val="18"/>
        </w:rPr>
        <w:t xml:space="preserve">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учреждений, имеет один из усыновителей, опекунов (попечителей), приемных родителей.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случае передачи на воспитание в семью двух и более детей пособие выплачивается на каждого ребенка.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7"/>
          <w:szCs w:val="17"/>
        </w:rPr>
        <w:t xml:space="preserve">(Федеральный закон от 19.05.1995 N 81-ФЗ (ред. от 02.07.2013) "О государственных пособиях гражданам, имеющим детей" (с изм. и доп., вступающими в силу с 01.01.2014)).</w:t>
      </w:r>
      <w:r>
        <w:rPr>
          <w:rFonts w:ascii="Verdana" w:hAnsi="Verdana"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205"/>
        <w:jc w:val="both"/>
        <w:rPr>
          <w:rFonts w:ascii="Verdana" w:hAnsi="Verdana"/>
          <w:sz w:val="28"/>
          <w:szCs w:val="17"/>
        </w:rPr>
      </w:pPr>
      <w:r>
        <w:rPr>
          <w:rStyle w:val="211"/>
          <w:color w:val="000000"/>
          <w:sz w:val="28"/>
        </w:rPr>
        <w:t xml:space="preserve">Возмездная опека (приёмная семья)</w:t>
      </w:r>
      <w:r>
        <w:rPr>
          <w:rFonts w:ascii="Verdana" w:hAnsi="Verdana"/>
          <w:sz w:val="28"/>
          <w:szCs w:val="17"/>
        </w:rPr>
      </w:r>
      <w:r/>
    </w:p>
    <w:tbl>
      <w:tblPr>
        <w:tblW w:w="0" w:type="auto"/>
        <w:tblInd w:w="0" w:type="dxa"/>
        <w:tblLayout w:type="autofi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9"/>
        <w:gridCol w:w="26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9" w:type="dxa"/>
            <w:vAlign w:val="center"/>
            <w:textDirection w:val="lrTb"/>
            <w:noWrap w:val="false"/>
          </w:tcPr>
          <w:p>
            <w:pPr>
              <w:pStyle w:val="205"/>
              <w:rPr>
                <w:rFonts w:ascii="Verdana" w:hAnsi="Verdana" w:eastAsia="Arial Unicode MS"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sz w:val="18"/>
                <w:szCs w:val="17"/>
              </w:rPr>
              <w:t xml:space="preserve"> </w:t>
            </w:r>
            <w:r>
              <w:rPr>
                <w:rFonts w:ascii="Verdana" w:hAnsi="Verdana" w:eastAsia="Arial Unicode MS"/>
                <w:color w:val="000000"/>
                <w:sz w:val="18"/>
                <w:szCs w:val="17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4" w:type="dxa"/>
            <w:vAlign w:val="center"/>
            <w:textDirection w:val="lrTb"/>
            <w:noWrap w:val="false"/>
          </w:tcPr>
          <w:p>
            <w:pPr>
              <w:pStyle w:val="205"/>
              <w:rPr>
                <w:rFonts w:ascii="Verdana" w:hAnsi="Verdana" w:eastAsia="Arial Unicode MS"/>
                <w:color w:val="000000"/>
                <w:sz w:val="18"/>
                <w:szCs w:val="17"/>
              </w:rPr>
            </w:pPr>
            <w:r>
              <w:rPr>
                <w:rFonts w:ascii="Verdana" w:hAnsi="Verdana" w:eastAsia="Arial Unicode MS"/>
                <w:color w:val="000000"/>
                <w:sz w:val="18"/>
                <w:szCs w:val="17"/>
              </w:rPr>
            </w:r>
            <w:r/>
          </w:p>
        </w:tc>
      </w:tr>
    </w:tbl>
    <w:p>
      <w:pPr>
        <w:pStyle w:val="205"/>
        <w:ind w:firstLine="5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Приемн</w:t>
      </w:r>
      <w:r>
        <w:rPr>
          <w:rFonts w:ascii="Verdana" w:hAnsi="Verdana"/>
          <w:bCs/>
          <w:sz w:val="18"/>
          <w:szCs w:val="18"/>
        </w:rPr>
        <w:t xml:space="preserve">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 </w:t>
      </w:r>
      <w:r>
        <w:rPr>
          <w:rFonts w:ascii="Verdana" w:hAnsi="Verdana"/>
          <w:bCs/>
          <w:sz w:val="18"/>
          <w:szCs w:val="17"/>
        </w:rPr>
        <w:t xml:space="preserve">(гл. 21 Семейного кодекса РФ).</w:t>
      </w:r>
      <w:r>
        <w:rPr>
          <w:rFonts w:ascii="Verdana" w:hAnsi="Verdana"/>
          <w:bCs/>
          <w:sz w:val="18"/>
          <w:szCs w:val="18"/>
        </w:rPr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  <w:r/>
    </w:p>
    <w:p>
      <w:pPr>
        <w:pStyle w:val="205"/>
        <w:jc w:val="both"/>
        <w:rPr>
          <w:rFonts w:ascii="Verdana" w:hAnsi="Verdana"/>
          <w:sz w:val="18"/>
          <w:szCs w:val="17"/>
        </w:rPr>
      </w:pPr>
      <w:r>
        <w:rPr>
          <w:rFonts w:ascii="Verdana" w:hAnsi="Verdana"/>
          <w:sz w:val="18"/>
          <w:szCs w:val="17"/>
        </w:rPr>
        <w:t xml:space="preserve">     Общее число детей в приемной семье, включая родных и усыновленных, не должно превышать, как правило, 8 человек.</w:t>
      </w:r>
      <w:r/>
    </w:p>
    <w:p>
      <w:pPr>
        <w:pStyle w:val="205"/>
        <w:ind w:firstLine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Приемные родители по отношению к принятому на воспитание ребенку</w:t>
      </w:r>
      <w:r>
        <w:rPr>
          <w:rFonts w:ascii="Verdana" w:hAnsi="Verdana"/>
          <w:sz w:val="18"/>
          <w:szCs w:val="18"/>
        </w:rPr>
        <w:t xml:space="preserve">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  <w:r/>
    </w:p>
    <w:p>
      <w:pPr>
        <w:pStyle w:val="205"/>
        <w:ind w:left="360"/>
        <w:jc w:val="both"/>
        <w:rPr>
          <w:rFonts w:ascii="Verdana" w:hAnsi="Verdana"/>
          <w:color w:val="000000"/>
          <w:sz w:val="18"/>
          <w:szCs w:val="17"/>
        </w:rPr>
      </w:pPr>
      <w:r>
        <w:rPr>
          <w:rFonts w:ascii="Verdana" w:hAnsi="Verdana"/>
          <w:color w:val="000000"/>
          <w:sz w:val="18"/>
          <w:szCs w:val="17"/>
        </w:rPr>
      </w:r>
      <w:r/>
    </w:p>
    <w:sectPr>
      <w:footnotePr/>
      <w:type w:val="nextPage"/>
      <w:pgSz w:w="11906" w:h="16838" w:orient="portrait"/>
      <w:pgMar w:top="360" w:right="566" w:bottom="719" w:left="360" w:header="708" w:footer="708" w:gutter="0"/>
      <w:cols w:num="2" w:sep="0" w:space="708" w:equalWidth="0">
        <w:col w:w="5760" w:space="360"/>
        <w:col w:w="4860" w:space="10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Verdan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1260" w:hanging="360"/>
        <w:tabs>
          <w:tab w:val="left" w:pos="126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980" w:hanging="360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05"/>
        <w:ind w:left="2700" w:hanging="360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05"/>
        <w:ind w:left="3420" w:hanging="360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05"/>
        <w:ind w:left="4140" w:hanging="360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05"/>
        <w:ind w:left="4860" w:hanging="360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05"/>
        <w:ind w:left="5580" w:hanging="360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05"/>
        <w:ind w:left="6300" w:hanging="360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05"/>
        <w:ind w:left="7020" w:hanging="360"/>
        <w:tabs>
          <w:tab w:val="left" w:pos="702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05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05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05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05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1260" w:hanging="360"/>
        <w:tabs>
          <w:tab w:val="left" w:pos="12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05"/>
        <w:ind w:left="1980" w:hanging="360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05"/>
        <w:ind w:left="2700" w:hanging="360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05"/>
        <w:ind w:left="3420" w:hanging="360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05"/>
        <w:ind w:left="4140" w:hanging="360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05"/>
        <w:ind w:left="4860" w:hanging="360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05"/>
        <w:ind w:left="5580" w:hanging="360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05"/>
        <w:ind w:left="6300" w:hanging="360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05"/>
        <w:ind w:left="7020" w:hanging="360"/>
        <w:tabs>
          <w:tab w:val="left" w:pos="70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pStyle w:val="205"/>
        <w:ind w:left="1440" w:hanging="36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05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05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05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05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"/>
      <w:lvlJc w:val="left"/>
      <w:pPr>
        <w:pStyle w:val="205"/>
        <w:ind w:left="1440" w:hanging="360"/>
        <w:tabs>
          <w:tab w:val="left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suff w:val="tab"/>
      <w:lvlText w:val=""/>
      <w:lvlJc w:val="left"/>
      <w:pPr>
        <w:pStyle w:val="205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205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205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205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205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205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205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205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205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7"/>
  </w:num>
  <w:num w:numId="5">
    <w:abstractNumId w:val="0"/>
  </w:num>
  <w:num w:numId="6">
    <w:abstractNumId w:val="15"/>
  </w:num>
  <w:num w:numId="7">
    <w:abstractNumId w:val="18"/>
  </w:num>
  <w:num w:numId="8">
    <w:abstractNumId w:val="9"/>
  </w:num>
  <w:num w:numId="9">
    <w:abstractNumId w:val="13"/>
  </w:num>
  <w:num w:numId="10">
    <w:abstractNumId w:val="2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14"/>
  </w:num>
  <w:num w:numId="19">
    <w:abstractNumId w:val="3"/>
  </w:num>
  <w:num w:numId="20">
    <w:abstractNumId w:val="17"/>
  </w:num>
  <w:num w:numId="21">
    <w:abstractNumId w:val="1"/>
  </w:num>
  <w:num w:numId="22">
    <w:abstractNumId w:val="5"/>
  </w:num>
  <w:num w:numId="2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205">
    <w:name w:val="Обычный"/>
    <w:next w:val="205"/>
    <w:link w:val="205"/>
    <w:rPr>
      <w:sz w:val="24"/>
      <w:szCs w:val="24"/>
      <w:lang w:val="ru-RU" w:bidi="ar-SA" w:eastAsia="ru-RU"/>
    </w:rPr>
  </w:style>
  <w:style w:type="paragraph" w:styleId="206">
    <w:name w:val="Заголовок 1"/>
    <w:basedOn w:val="205"/>
    <w:next w:val="205"/>
    <w:link w:val="205"/>
    <w:rPr>
      <w:sz w:val="28"/>
    </w:rPr>
    <w:pPr>
      <w:jc w:val="both"/>
      <w:keepNext/>
      <w:outlineLvl w:val="0"/>
    </w:pPr>
  </w:style>
  <w:style w:type="character" w:styleId="207">
    <w:name w:val="Основной шрифт абзаца"/>
    <w:next w:val="207"/>
    <w:link w:val="205"/>
    <w:semiHidden/>
  </w:style>
  <w:style w:type="table" w:styleId="208">
    <w:name w:val="Обычная таблица"/>
    <w:next w:val="208"/>
    <w:link w:val="205"/>
    <w:semiHidden/>
    <w:tblPr/>
  </w:style>
  <w:style w:type="numbering" w:styleId="209">
    <w:name w:val="Нет списка"/>
    <w:next w:val="209"/>
    <w:link w:val="205"/>
    <w:semiHidden/>
  </w:style>
  <w:style w:type="character" w:styleId="210">
    <w:name w:val="Гиперссылка"/>
    <w:basedOn w:val="207"/>
    <w:next w:val="210"/>
    <w:link w:val="205"/>
    <w:rPr>
      <w:color w:val="000000"/>
      <w:u w:val="single"/>
    </w:rPr>
  </w:style>
  <w:style w:type="character" w:styleId="211">
    <w:name w:val="txt_date1"/>
    <w:basedOn w:val="207"/>
    <w:next w:val="211"/>
    <w:link w:val="205"/>
    <w:rPr>
      <w:rFonts w:ascii="Verdana" w:hAnsi="Verdana"/>
      <w:b/>
      <w:bCs/>
      <w:color w:val="0000FF"/>
      <w:sz w:val="17"/>
      <w:szCs w:val="17"/>
    </w:rPr>
  </w:style>
  <w:style w:type="character" w:styleId="212">
    <w:name w:val="Просмотренная гиперссылка"/>
    <w:basedOn w:val="207"/>
    <w:next w:val="212"/>
    <w:link w:val="205"/>
    <w:rPr>
      <w:color w:val="800080"/>
      <w:u w:val="single"/>
    </w:rPr>
  </w:style>
  <w:style w:type="paragraph" w:styleId="213">
    <w:name w:val="Основной текст"/>
    <w:basedOn w:val="205"/>
    <w:next w:val="213"/>
    <w:link w:val="205"/>
    <w:rPr>
      <w:rFonts w:ascii="Verdana" w:hAnsi="Verdana"/>
      <w:sz w:val="17"/>
      <w:szCs w:val="17"/>
    </w:rPr>
    <w:pPr>
      <w:jc w:val="both"/>
    </w:pPr>
  </w:style>
  <w:style w:type="character" w:styleId="905" w:default="1">
    <w:name w:val="Default Paragraph Font"/>
    <w:uiPriority w:val="1"/>
    <w:semiHidden/>
    <w:unhideWhenUsed/>
  </w:style>
  <w:style w:type="numbering" w:styleId="906" w:default="1">
    <w:name w:val="No List"/>
    <w:uiPriority w:val="99"/>
    <w:semiHidden/>
    <w:unhideWhenUsed/>
  </w:style>
  <w:style w:type="paragraph" w:styleId="907" w:default="1">
    <w:name w:val="Normal"/>
    <w:qFormat/>
  </w:style>
  <w:style w:type="table" w:styleId="9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2022-01-18T08:58:11Z</dcterms:modified>
</cp:coreProperties>
</file>