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4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19.12</w:t>
      </w:r>
      <w:r>
        <w:rPr>
          <w:b/>
          <w:sz w:val="24"/>
          <w:szCs w:val="24"/>
        </w:rPr>
        <w:t xml:space="preserve">.2022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24</w:t>
      </w:r>
      <w:r/>
    </w:p>
    <w:p>
      <w:pPr>
        <w:pStyle w:val="654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5:00</w:t>
      </w:r>
      <w:r/>
    </w:p>
    <w:p>
      <w:pPr>
        <w:pStyle w:val="654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4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Юркин С.Н., </w:t>
      </w:r>
      <w:r>
        <w:rPr>
          <w:spacing w:val="-4"/>
          <w:sz w:val="24"/>
          <w:szCs w:val="24"/>
        </w:rPr>
        <w:t xml:space="preserve">Гарагуля Н.Л., Степанов С.Н.,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Паршина Г.В., </w:t>
      </w:r>
      <w:r>
        <w:rPr>
          <w:spacing w:val="-4"/>
          <w:sz w:val="24"/>
          <w:szCs w:val="24"/>
        </w:rPr>
        <w:t xml:space="preserve"> </w:t>
      </w:r>
      <w:r>
        <w:t xml:space="preserve"> </w:t>
      </w:r>
      <w:r>
        <w:rPr>
          <w:spacing w:val="-4"/>
          <w:sz w:val="24"/>
          <w:szCs w:val="24"/>
        </w:rPr>
        <w:t xml:space="preserve">Акимов И.Э.,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Степанов В.Н.,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Архипова Т.В., </w:t>
      </w:r>
      <w:r>
        <w:rPr>
          <w:spacing w:val="-4"/>
          <w:sz w:val="24"/>
          <w:szCs w:val="24"/>
        </w:rPr>
        <w:t xml:space="preserve">Изотов А.В., </w:t>
      </w:r>
      <w:r>
        <w:rPr>
          <w:spacing w:val="-4"/>
          <w:sz w:val="24"/>
          <w:szCs w:val="24"/>
        </w:rPr>
        <w:t xml:space="preserve">Прокопенко С.Н.</w:t>
      </w:r>
      <w:r>
        <w:rPr>
          <w:spacing w:val="-4"/>
          <w:sz w:val="24"/>
          <w:szCs w:val="24"/>
        </w:rPr>
        <w:t xml:space="preserve">, </w:t>
      </w:r>
      <w:r>
        <w:t xml:space="preserve"> </w:t>
      </w:r>
      <w:r>
        <w:rPr>
          <w:spacing w:val="-4"/>
          <w:sz w:val="24"/>
          <w:szCs w:val="24"/>
        </w:rPr>
        <w:t xml:space="preserve">Копченкова О. А.</w:t>
      </w:r>
      <w:r>
        <w:t xml:space="preserve">, Лубенцев Г.П., Шакула Ю.А.</w:t>
        <w:tab/>
      </w:r>
      <w:r/>
    </w:p>
    <w:p>
      <w:pPr>
        <w:pStyle w:val="654"/>
        <w:spacing w:before="10"/>
        <w:shd w:val="clear" w:fill="FFFFFF" w:color="FFFFFF"/>
        <w:tabs>
          <w:tab w:val="center" w:pos="4960" w:leader="none"/>
          <w:tab w:val="left" w:pos="6579" w:leader="none"/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Емельянова Т.А.,  </w:t>
      </w:r>
      <w:r>
        <w:rPr>
          <w:spacing w:val="-4"/>
          <w:sz w:val="24"/>
          <w:szCs w:val="24"/>
        </w:rPr>
        <w:t xml:space="preserve">Левкина Е.А., </w:t>
      </w:r>
      <w:r>
        <w:rPr>
          <w:b/>
          <w:spacing w:val="-4"/>
          <w:sz w:val="24"/>
          <w:szCs w:val="24"/>
        </w:rPr>
      </w:r>
      <w:r>
        <w:tab/>
      </w:r>
      <w:r>
        <w:rPr>
          <w:spacing w:val="-4"/>
          <w:sz w:val="24"/>
          <w:szCs w:val="24"/>
        </w:rPr>
        <w:t xml:space="preserve">Вакурина Л.Г.</w:t>
      </w:r>
      <w:r>
        <w:rPr>
          <w:spacing w:val="-4"/>
          <w:sz w:val="24"/>
          <w:szCs w:val="24"/>
        </w:rPr>
        <w:t xml:space="preserve">,</w:t>
      </w:r>
      <w:r/>
      <w:r>
        <w:rPr>
          <w:spacing w:val="-4"/>
          <w:sz w:val="24"/>
          <w:szCs w:val="24"/>
        </w:rPr>
        <w:t xml:space="preserve"> </w:t>
      </w:r>
      <w:r>
        <w:t xml:space="preserve">А.П. Стрижевский, </w:t>
      </w:r>
      <w:r>
        <w:t xml:space="preserve">Минькова Н.А., Тараненко В.В.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   </w:t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sz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   </w:t>
      </w:r>
      <w:r>
        <w:rPr>
          <w:sz w:val="24"/>
        </w:rPr>
        <w:t xml:space="preserve">1</w:t>
      </w:r>
      <w:r>
        <w:rPr>
          <w:sz w:val="24"/>
        </w:rPr>
        <w:t xml:space="preserve">5:00- 1</w:t>
      </w:r>
      <w:r>
        <w:rPr>
          <w:sz w:val="24"/>
        </w:rPr>
        <w:t xml:space="preserve">5:05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Елегечев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 w:val="false"/>
          <w:sz w:val="24"/>
        </w:rPr>
        <w:t xml:space="preserve">председател</w:t>
      </w:r>
      <w:r>
        <w:rPr>
          <w:i w:val="false"/>
          <w:sz w:val="24"/>
        </w:rPr>
        <w:t xml:space="preserve">ь межведомственной комиссии по профилактике</w:t>
      </w:r>
      <w:r>
        <w:rPr>
          <w:i w:val="false"/>
          <w:sz w:val="24"/>
        </w:rPr>
        <w:t xml:space="preserve">   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                                                                                                   </w:t>
      </w:r>
      <w:r>
        <w:rPr>
          <w:i w:val="false"/>
          <w:sz w:val="24"/>
        </w:rPr>
        <w:t xml:space="preserve">правонарушений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муниципального образования </w:t>
      </w:r>
      <w:r>
        <w:rPr>
          <w:i w:val="false"/>
          <w:sz w:val="24"/>
        </w:rPr>
        <w:t xml:space="preserve">Кожевниковский</w:t>
      </w:r>
      <w:r>
        <w:rPr>
          <w:i w:val="false"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</w:t>
      </w:r>
      <w:r>
        <w:rPr>
          <w:sz w:val="24"/>
        </w:rPr>
        <w:t xml:space="preserve">5: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5: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№19-13/23 от 26</w:t>
      </w:r>
      <w:r>
        <w:rPr>
          <w:sz w:val="24"/>
        </w:rPr>
        <w:t xml:space="preserve">.</w:t>
      </w:r>
      <w:r>
        <w:rPr>
          <w:sz w:val="24"/>
        </w:rPr>
        <w:t xml:space="preserve">08.2022г.</w:t>
      </w:r>
      <w:r>
        <w:rPr>
          <w:sz w:val="24"/>
        </w:rPr>
      </w:r>
      <w:r/>
    </w:p>
    <w:p>
      <w:pPr>
        <w:pStyle w:val="50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0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15:10 – 15:25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Об итогах деятельности комиссии по делам несовершеннолетних и защите их прав за 2022</w:t>
      </w:r>
      <w:r>
        <w:rPr>
          <w:sz w:val="24"/>
        </w:rPr>
        <w:t xml:space="preserve"> год. </w:t>
      </w:r>
      <w:r>
        <w:rPr>
          <w:sz w:val="24"/>
        </w:rPr>
        <w:t xml:space="preserve">(</w:t>
      </w:r>
      <w:r>
        <w:rPr>
          <w:sz w:val="24"/>
        </w:rPr>
        <w:t xml:space="preserve">Ответственный секретарь комиссии по делам несовершеннолетних и защите их прав Кожевниковского района</w:t>
      </w:r>
      <w:r>
        <w:rPr>
          <w:sz w:val="24"/>
        </w:rPr>
        <w:t xml:space="preserve"> - Гарагуля Н.Л. 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     </w:t>
      </w:r>
      <w:r>
        <w:rPr>
          <w:sz w:val="24"/>
        </w:rPr>
        <w:t xml:space="preserve">15:</w:t>
      </w:r>
      <w:r>
        <w:rPr>
          <w:sz w:val="24"/>
        </w:rPr>
        <w:t xml:space="preserve">25 – 15:</w:t>
      </w:r>
      <w:r>
        <w:rPr>
          <w:sz w:val="24"/>
        </w:rPr>
        <w:t xml:space="preserve">40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</w:t>
      </w:r>
      <w:r>
        <w:rPr>
          <w:sz w:val="24"/>
        </w:rPr>
        <w:t xml:space="preserve">О проводимой работе по выявлению контрафактной алкогольной и спиртосодержащей продукции на территории</w:t>
      </w:r>
      <w:r>
        <w:rPr>
          <w:sz w:val="24"/>
        </w:rPr>
        <w:t xml:space="preserve">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</w:t>
      </w:r>
      <w:r>
        <w:rPr>
          <w:sz w:val="24"/>
        </w:rPr>
        <w:t xml:space="preserve">о</w:t>
      </w:r>
      <w:r>
        <w:rPr>
          <w:sz w:val="24"/>
        </w:rPr>
        <w:t xml:space="preserve">на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ОМВД России по Кожевниковскому району</w:t>
      </w:r>
      <w:r>
        <w:rPr>
          <w:sz w:val="24"/>
        </w:rPr>
        <w:t xml:space="preserve">).</w:t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</w:rPr>
        <w:t xml:space="preserve">         15:</w:t>
      </w:r>
      <w:r>
        <w:rPr>
          <w:sz w:val="24"/>
        </w:rPr>
        <w:t xml:space="preserve">40 – 15:</w:t>
      </w:r>
      <w:r>
        <w:rPr>
          <w:sz w:val="24"/>
        </w:rPr>
        <w:t xml:space="preserve">55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4.</w:t>
      </w:r>
      <w:r>
        <w:rPr>
          <w:sz w:val="24"/>
        </w:rPr>
        <w:t xml:space="preserve">Об</w:t>
      </w:r>
      <w:r>
        <w:rPr>
          <w:sz w:val="24"/>
        </w:rPr>
        <w:t xml:space="preserve"> </w:t>
      </w:r>
      <w:r>
        <w:rPr>
          <w:sz w:val="24"/>
        </w:rPr>
        <w:t xml:space="preserve">утверждений</w:t>
      </w:r>
      <w:r>
        <w:rPr>
          <w:sz w:val="24"/>
        </w:rPr>
        <w:t xml:space="preserve"> плана работы </w:t>
      </w:r>
      <w:r>
        <w:rPr>
          <w:sz w:val="24"/>
        </w:rPr>
        <w:t xml:space="preserve">комиссии </w:t>
      </w:r>
      <w:r>
        <w:rPr>
          <w:sz w:val="24"/>
        </w:rPr>
        <w:t xml:space="preserve">на 2023</w:t>
      </w:r>
      <w:r>
        <w:rPr>
          <w:sz w:val="24"/>
        </w:rPr>
        <w:t xml:space="preserve"> год.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Председатель комиссии по профилактике правонарушений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</w:t>
      </w:r>
      <w:r>
        <w:rPr>
          <w:sz w:val="24"/>
        </w:rPr>
        <w:t xml:space="preserve">).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pStyle w:val="500"/>
        <w:ind w:left="720"/>
        <w:jc w:val="left"/>
        <w:rPr>
          <w:sz w:val="24"/>
        </w:rPr>
      </w:pPr>
      <w:r>
        <w:rPr>
          <w:sz w:val="24"/>
        </w:rPr>
      </w:r>
      <w:r/>
    </w:p>
    <w:p>
      <w:pPr>
        <w:pStyle w:val="654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605"/>
        <w:gridCol w:w="3189"/>
        <w:gridCol w:w="186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Обеспечить организацию летней занятости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по максимальному охвату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и вовлечению несовершеннолетних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, состоящих на профилактических учетах в органах субъектов профилактики,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находящихся в социально опасном положении, организованными формами отдыха, а также с учетом интересов детей обеспечить их трудоустройство в летний период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2023 года.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white"/>
              </w:rPr>
              <w:t xml:space="preserve">летний период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</w:rPr>
              <w:t xml:space="preserve">2023 года.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660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ОГКУ «Центр занятости населения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района»,</w:t>
            </w:r>
            <w:r>
              <w:rPr>
                <w:i/>
                <w:sz w:val="24"/>
              </w:rPr>
              <w:t xml:space="preserve"> отдел образования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i/>
                <w:sz w:val="24"/>
              </w:rPr>
              <w:t xml:space="preserve">, КДН и ЗП Кожевниковского района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  <w:lang w:val="ru-RU"/>
              </w:rPr>
              <w:t xml:space="preserve">информацию об исполнении протокольного решения заслушать в 3 квартале 2023г.</w:t>
            </w:r>
            <w:r/>
          </w:p>
          <w:p>
            <w:r/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3.2. </w:t>
            </w:r>
            <w:r>
              <w:rPr>
                <w:sz w:val="24"/>
              </w:rPr>
              <w:t xml:space="preserve">Организовать трансляцию профилактических аудио - роликов, о видах совершаемых дистанционных преступлений и способах защиты от них, в общественных местах оборудованных специальными техническими средствами.</w:t>
            </w:r>
            <w:r>
              <w:rPr>
                <w:sz w:val="24"/>
                <w:highlight w:val="none"/>
              </w:rPr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Отдел по культуре, спорту, молодежной политике и связям с общественностью, ОМВД России по Кожевниковскому району, Главы сельских поселений Кожевниковского района</w:t>
            </w:r>
            <w:r>
              <w:rPr>
                <w:i/>
                <w:sz w:val="24"/>
              </w:rPr>
              <w:t xml:space="preserve">, субъекты профилактики района.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/>
          </w:p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sz w:val="24"/>
                <w:highlight w:val="none"/>
              </w:rPr>
            </w:pPr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>
              <w:rPr>
                <w:sz w:val="24"/>
                <w:highlight w:val="none"/>
              </w:rPr>
              <w:t xml:space="preserve">3.3.Продолжить информирование населения о </w:t>
            </w:r>
            <w:r>
              <w:rPr>
                <w:sz w:val="24"/>
              </w:rPr>
              <w:t xml:space="preserve">профилактике преступлений, связанных с мошенничеством с использованием сети Интернет и мобильной связи</w:t>
            </w:r>
            <w:r>
              <w:rPr>
                <w:sz w:val="24"/>
                <w:highlight w:val="none"/>
              </w:rPr>
              <w:t xml:space="preserve"> путем размещения статей в местной газете «Знамя труда», социальных мессенджерах, на официальном сайте Администрации района, Администрации сельских поселений района.</w:t>
            </w:r>
            <w:r>
              <w:rPr>
                <w:sz w:val="24"/>
                <w:highlight w:val="none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постоянно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Отдел по культуре, спорту, молодежной политике и связям с общественностью, ОМВД России по Кожевниковскому району, Главы сельских поселений Кожевниковского района</w:t>
            </w:r>
            <w:r>
              <w:rPr>
                <w:i/>
                <w:sz w:val="24"/>
              </w:rPr>
              <w:t xml:space="preserve">, субъекты профилактики района.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  <w:highlight w:val="none"/>
              </w:rPr>
              <w:t xml:space="preserve">3.4. Проводить индивидуальные беседы с населением, использовать раздаточные материалы (памятки) о</w:t>
            </w:r>
            <w:r>
              <w:rPr>
                <w:sz w:val="24"/>
              </w:rPr>
              <w:t xml:space="preserve"> видах совершаемых дистанционных преступлений</w:t>
            </w:r>
            <w:r>
              <w:rPr>
                <w:sz w:val="24"/>
                <w:highlight w:val="none"/>
              </w:rPr>
              <w:t xml:space="preserve"> при оказании государственных и муниципальных услуг.</w:t>
            </w:r>
            <w:r>
              <w:rPr>
                <w:sz w:val="24"/>
              </w:rPr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постоянно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Отдел по культуре, спорту, молодежной политике и связям с общественностью, ОМВД России по Кожевниковскому району, Главы сельских поселений Кожевниковского района</w:t>
            </w:r>
            <w:r>
              <w:rPr>
                <w:i/>
                <w:sz w:val="24"/>
              </w:rPr>
              <w:t xml:space="preserve">, субъекты профилактики района.</w:t>
            </w:r>
            <w:r>
              <w:rPr>
                <w:i/>
                <w:sz w:val="24"/>
              </w:rPr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65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both"/>
      </w:pPr>
      <w:r>
        <w:rPr>
          <w:sz w:val="24"/>
          <w:szCs w:val="24"/>
          <w:u w:val="single"/>
        </w:rPr>
      </w:r>
      <w:r/>
    </w:p>
    <w:p>
      <w:pPr>
        <w:pStyle w:val="654"/>
        <w:jc w:val="both"/>
        <w:rPr>
          <w:b w:val="false"/>
          <w:i w:val="false"/>
          <w:highlight w:val="none"/>
          <w:lang w:val="ru-RU"/>
        </w:rPr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3/23 от 26</w:t>
      </w:r>
      <w:r>
        <w:rPr>
          <w:sz w:val="24"/>
          <w:szCs w:val="24"/>
        </w:rPr>
        <w:t xml:space="preserve">.08</w:t>
      </w:r>
      <w:r>
        <w:rPr>
          <w:sz w:val="24"/>
          <w:szCs w:val="24"/>
        </w:rPr>
        <w:t xml:space="preserve">.2022г. пункт № </w:t>
      </w:r>
      <w:r>
        <w:rPr>
          <w:sz w:val="24"/>
          <w:szCs w:val="24"/>
        </w:rPr>
        <w:t xml:space="preserve">2.2. - заслушать </w:t>
      </w:r>
      <w:r>
        <w:rPr>
          <w:b w:val="false"/>
          <w:i w:val="false"/>
          <w:lang w:val="ru-RU"/>
        </w:rPr>
        <w:t xml:space="preserve">информацию об исполнении протокольного решения в 3 квартале 2023г.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b w:val="false"/>
          <w:i w:val="false"/>
          <w:highlight w:val="none"/>
          <w:lang w:val="ru-RU"/>
        </w:rPr>
        <w:t xml:space="preserve">1.2. </w:t>
      </w:r>
      <w:r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3/23 от 26</w:t>
      </w:r>
      <w:r>
        <w:rPr>
          <w:sz w:val="24"/>
          <w:szCs w:val="24"/>
        </w:rPr>
        <w:t xml:space="preserve">.08</w:t>
      </w:r>
      <w:r>
        <w:rPr>
          <w:sz w:val="24"/>
          <w:szCs w:val="24"/>
        </w:rPr>
        <w:t xml:space="preserve">.2022г. пункт № </w:t>
      </w:r>
      <w:r>
        <w:rPr>
          <w:b w:val="false"/>
          <w:i w:val="false"/>
          <w:highlight w:val="none"/>
          <w:lang w:val="ru-RU"/>
        </w:rPr>
        <w:t xml:space="preserve">3.2 - 3.4 - </w:t>
      </w:r>
      <w:r>
        <w:rPr>
          <w:b w:val="false"/>
          <w:i w:val="false"/>
          <w:sz w:val="24"/>
          <w:szCs w:val="24"/>
        </w:rPr>
        <w:t xml:space="preserve">осуществлять контроль на постоянной основе</w:t>
      </w:r>
      <w:r>
        <w:rPr>
          <w:sz w:val="24"/>
          <w:szCs w:val="24"/>
        </w:rPr>
        <w:t xml:space="preserve"> </w:t>
      </w:r>
      <w:r/>
    </w:p>
    <w:p>
      <w:pPr>
        <w:pStyle w:val="654"/>
        <w:jc w:val="both"/>
        <w:rPr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15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/>
    </w:p>
    <w:p>
      <w:pPr>
        <w:pStyle w:val="654"/>
        <w:jc w:val="both"/>
        <w:rPr>
          <w:i w:val="false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ответственного секретаря КДН и ЗП Администрации Кожевниковского района - Наталью Леонидовну Гарагуля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i w:val="false"/>
        </w:rPr>
      </w:r>
      <w:r/>
    </w:p>
    <w:p>
      <w:pPr>
        <w:pStyle w:val="65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654"/>
        <w:jc w:val="both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sz w:val="24"/>
          <w:szCs w:val="24"/>
        </w:rPr>
        <w:t xml:space="preserve">2.2.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Увеличить количество рейдовых мероприятий по посещению несовершеннолетних условно осужденных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несовершеннолетних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с целью недопущения их противоправных действий, совершения ими новых преступлений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и противоправных действий. </w:t>
      </w:r>
      <w:r/>
    </w:p>
    <w:p>
      <w:pPr>
        <w:pStyle w:val="654"/>
        <w:jc w:val="both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2.3. Продолжить проведение на территории района профилактической разъяснительной работы с несовершеннолетними и их законными представителями о нормах законодательства РФ, об ответственности за противоправные деяния, с целью предупреждения правонарушений.</w:t>
      </w:r>
      <w:r/>
    </w:p>
    <w:p>
      <w:pPr>
        <w:pStyle w:val="654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в течение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2023 года.</w:t>
      </w:r>
      <w:r>
        <w:rPr>
          <w:i/>
        </w:rPr>
      </w:r>
      <w:r/>
    </w:p>
    <w:p>
      <w:pPr>
        <w:pStyle w:val="654"/>
        <w:jc w:val="both"/>
        <w:tabs>
          <w:tab w:val="left" w:pos="6279" w:leader="none"/>
        </w:tabs>
        <w:rPr>
          <w:i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 КДН и ЗП Кожевниковского района, ОМВД России по Кожевниковскому району</w:t>
      </w:r>
      <w:r>
        <w:tab/>
      </w:r>
      <w:r/>
    </w:p>
    <w:p>
      <w:pPr>
        <w:pStyle w:val="654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15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/>
      <w:r/>
    </w:p>
    <w:p>
      <w:pPr>
        <w:pStyle w:val="654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инспектор НИАЗ</w:t>
      </w:r>
      <w:r>
        <w:rPr>
          <w:i/>
          <w:sz w:val="24"/>
          <w:szCs w:val="24"/>
        </w:rPr>
        <w:t xml:space="preserve"> ОМВД России по Кожевниковскому району - Ю.А. Шакула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 на 1</w:t>
      </w:r>
      <w:r>
        <w:rPr>
          <w:sz w:val="24"/>
          <w:szCs w:val="24"/>
        </w:rPr>
        <w:t xml:space="preserve"> лис</w:t>
      </w:r>
      <w:r>
        <w:rPr>
          <w:b w:val="false"/>
          <w:i w:val="false"/>
          <w:sz w:val="24"/>
          <w:szCs w:val="24"/>
        </w:rPr>
        <w:t xml:space="preserve">т</w:t>
      </w:r>
      <w:r>
        <w:rPr>
          <w:rFonts w:eastAsia="Calibri"/>
          <w:b w:val="false"/>
          <w:i w:val="false"/>
          <w:sz w:val="24"/>
          <w:szCs w:val="24"/>
        </w:rPr>
        <w:t xml:space="preserve">е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rFonts w:eastAsia="Calibri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3.2.</w:t>
      </w:r>
      <w:r>
        <w:rPr>
          <w:sz w:val="24"/>
          <w:szCs w:val="24"/>
        </w:rPr>
        <w:t xml:space="preserve">Продолжить практику проведения оперативно - профилактических мероприятий, направленных на выявление и пресечение преступлений и административных правонарушений, связанных с незаконным оборотом алкогольной и спиртосодержащей продукции.</w:t>
      </w:r>
      <w:r/>
    </w:p>
    <w:p>
      <w:pPr>
        <w:pStyle w:val="654"/>
        <w:jc w:val="both"/>
        <w:rPr>
          <w:sz w:val="24"/>
        </w:rPr>
      </w:pPr>
      <w:r>
        <w:rPr>
          <w:sz w:val="24"/>
        </w:rPr>
      </w:r>
      <w:r>
        <w:rPr>
          <w:i/>
          <w:sz w:val="24"/>
          <w:szCs w:val="24"/>
        </w:rPr>
        <w:t xml:space="preserve">Срок:  постоянно</w:t>
      </w:r>
      <w:r>
        <w:rPr>
          <w:sz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ОМВД России по Кожевниковскому району </w:t>
      </w:r>
      <w:r/>
    </w:p>
    <w:p>
      <w:pPr>
        <w:pStyle w:val="654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15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pStyle w:val="654"/>
        <w:jc w:val="both"/>
        <w:rPr>
          <w:rFonts w:eastAsia="Calibri"/>
        </w:rPr>
      </w:pPr>
      <w:r>
        <w:rPr>
          <w:b/>
          <w:sz w:val="24"/>
          <w:szCs w:val="24"/>
        </w:rPr>
        <w:t xml:space="preserve">4. По четвертому вопросу</w:t>
      </w:r>
      <w:r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 xml:space="preserve">п</w:t>
      </w:r>
      <w:r>
        <w:rPr>
          <w:rFonts w:eastAsia="Calibri"/>
          <w:sz w:val="24"/>
          <w:szCs w:val="24"/>
        </w:rPr>
        <w:t xml:space="preserve">редседателя комиссии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– Елегечева Виктора Николаевича</w:t>
      </w:r>
      <w:r>
        <w:rPr>
          <w:rFonts w:eastAsia="Calibri"/>
          <w:sz w:val="24"/>
          <w:szCs w:val="24"/>
        </w:rPr>
        <w:t xml:space="preserve"> (план прилагается на 3 листах)</w:t>
      </w:r>
      <w:r>
        <w:rPr>
          <w:rFonts w:eastAsia="Calibri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4.1. Утвердить план работы </w:t>
      </w:r>
      <w:r>
        <w:rPr>
          <w:sz w:val="24"/>
          <w:szCs w:val="24"/>
        </w:rPr>
        <w:t xml:space="preserve">межведомственной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по профилактике правонарушений</w:t>
      </w:r>
      <w:r>
        <w:rPr>
          <w:sz w:val="24"/>
          <w:szCs w:val="24"/>
        </w:rPr>
        <w:t xml:space="preserve"> Кожевниковского района на 2023 год;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4.2. Организовать работу </w:t>
      </w:r>
      <w:r>
        <w:rPr>
          <w:sz w:val="24"/>
          <w:szCs w:val="24"/>
        </w:rPr>
        <w:t xml:space="preserve">межведомственной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по профилактике правонарушений</w:t>
      </w:r>
      <w:r>
        <w:rPr>
          <w:sz w:val="24"/>
          <w:szCs w:val="24"/>
        </w:rPr>
        <w:t xml:space="preserve"> в соответствии с утвержденным планом работы на 2023 год не реже одного раза в квартал;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в течение 2023г.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Ответственные: Председатель комиссии, секретарь комиссии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4.3. Разместить информацию на сайте Администрации Кожевниковского района.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январь 2023г.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Ответственные: секретарь комиссии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15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4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512"/>
    <w:uiPriority w:val="99"/>
  </w:style>
  <w:style w:type="paragraph" w:styleId="479">
    <w:name w:val="endnote text"/>
    <w:basedOn w:val="664"/>
    <w:link w:val="480"/>
    <w:uiPriority w:val="99"/>
    <w:semiHidden/>
    <w:unhideWhenUsed/>
    <w:rPr>
      <w:sz w:val="20"/>
    </w:rPr>
    <w:pPr>
      <w:spacing w:lineRule="auto" w:line="240" w:after="0"/>
    </w:pPr>
  </w:style>
  <w:style w:type="character" w:styleId="480">
    <w:name w:val="Endnote Text Char"/>
    <w:link w:val="479"/>
    <w:uiPriority w:val="99"/>
    <w:rPr>
      <w:sz w:val="20"/>
    </w:rPr>
  </w:style>
  <w:style w:type="character" w:styleId="481">
    <w:name w:val="endnote reference"/>
    <w:basedOn w:val="662"/>
    <w:uiPriority w:val="99"/>
    <w:semiHidden/>
    <w:unhideWhenUsed/>
    <w:rPr>
      <w:vertAlign w:val="superscript"/>
    </w:rPr>
  </w:style>
  <w:style w:type="paragraph" w:styleId="482">
    <w:name w:val="Heading 1"/>
    <w:link w:val="4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3">
    <w:name w:val="Heading 1 Char"/>
    <w:link w:val="482"/>
    <w:uiPriority w:val="9"/>
    <w:rPr>
      <w:rFonts w:ascii="Arial" w:hAnsi="Arial" w:cs="Arial" w:eastAsia="Arial"/>
      <w:sz w:val="40"/>
      <w:szCs w:val="40"/>
    </w:rPr>
  </w:style>
  <w:style w:type="paragraph" w:styleId="484">
    <w:name w:val="Heading 2"/>
    <w:link w:val="4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5">
    <w:name w:val="Heading 2 Char"/>
    <w:link w:val="484"/>
    <w:uiPriority w:val="9"/>
    <w:rPr>
      <w:rFonts w:ascii="Arial" w:hAnsi="Arial" w:cs="Arial" w:eastAsia="Arial"/>
      <w:sz w:val="34"/>
    </w:rPr>
  </w:style>
  <w:style w:type="paragraph" w:styleId="486">
    <w:name w:val="Heading 3"/>
    <w:link w:val="4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7">
    <w:name w:val="Heading 3 Char"/>
    <w:link w:val="486"/>
    <w:uiPriority w:val="9"/>
    <w:rPr>
      <w:rFonts w:ascii="Arial" w:hAnsi="Arial" w:cs="Arial" w:eastAsia="Arial"/>
      <w:sz w:val="30"/>
      <w:szCs w:val="30"/>
    </w:rPr>
  </w:style>
  <w:style w:type="paragraph" w:styleId="488">
    <w:name w:val="Heading 4"/>
    <w:link w:val="4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9">
    <w:name w:val="Heading 4 Char"/>
    <w:link w:val="488"/>
    <w:uiPriority w:val="9"/>
    <w:rPr>
      <w:rFonts w:ascii="Arial" w:hAnsi="Arial" w:cs="Arial" w:eastAsia="Arial"/>
      <w:b/>
      <w:bCs/>
      <w:sz w:val="26"/>
      <w:szCs w:val="26"/>
    </w:rPr>
  </w:style>
  <w:style w:type="paragraph" w:styleId="490">
    <w:name w:val="Heading 5"/>
    <w:link w:val="4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1">
    <w:name w:val="Heading 5 Char"/>
    <w:link w:val="490"/>
    <w:uiPriority w:val="9"/>
    <w:rPr>
      <w:rFonts w:ascii="Arial" w:hAnsi="Arial" w:cs="Arial" w:eastAsia="Arial"/>
      <w:b/>
      <w:bCs/>
      <w:sz w:val="24"/>
      <w:szCs w:val="24"/>
    </w:rPr>
  </w:style>
  <w:style w:type="paragraph" w:styleId="492">
    <w:name w:val="Heading 6"/>
    <w:link w:val="4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3">
    <w:name w:val="Heading 6 Char"/>
    <w:link w:val="492"/>
    <w:uiPriority w:val="9"/>
    <w:rPr>
      <w:rFonts w:ascii="Arial" w:hAnsi="Arial" w:cs="Arial" w:eastAsia="Arial"/>
      <w:b/>
      <w:bCs/>
      <w:sz w:val="22"/>
      <w:szCs w:val="22"/>
    </w:rPr>
  </w:style>
  <w:style w:type="paragraph" w:styleId="494">
    <w:name w:val="Heading 7"/>
    <w:link w:val="4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5">
    <w:name w:val="Heading 7 Char"/>
    <w:link w:val="4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6">
    <w:name w:val="Heading 8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7">
    <w:name w:val="Heading 8 Char"/>
    <w:link w:val="496"/>
    <w:uiPriority w:val="9"/>
    <w:rPr>
      <w:rFonts w:ascii="Arial" w:hAnsi="Arial" w:cs="Arial" w:eastAsia="Arial"/>
      <w:i/>
      <w:iCs/>
      <w:sz w:val="22"/>
      <w:szCs w:val="22"/>
    </w:rPr>
  </w:style>
  <w:style w:type="paragraph" w:styleId="498">
    <w:name w:val="Heading 9"/>
    <w:link w:val="4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9">
    <w:name w:val="Heading 9 Char"/>
    <w:link w:val="498"/>
    <w:uiPriority w:val="9"/>
    <w:rPr>
      <w:rFonts w:ascii="Arial" w:hAnsi="Arial" w:cs="Arial" w:eastAsia="Arial"/>
      <w:i/>
      <w:iCs/>
      <w:sz w:val="21"/>
      <w:szCs w:val="21"/>
    </w:rPr>
  </w:style>
  <w:style w:type="paragraph" w:styleId="500">
    <w:name w:val="List Paragraph"/>
    <w:qFormat/>
    <w:uiPriority w:val="34"/>
    <w:pPr>
      <w:contextualSpacing w:val="true"/>
      <w:ind w:left="720"/>
    </w:pPr>
  </w:style>
  <w:style w:type="paragraph" w:styleId="501">
    <w:name w:val="No Spacing"/>
    <w:qFormat/>
    <w:uiPriority w:val="1"/>
    <w:pPr>
      <w:spacing w:lineRule="auto" w:line="240" w:after="0" w:before="0"/>
    </w:pPr>
  </w:style>
  <w:style w:type="paragraph" w:styleId="502">
    <w:name w:val="Title"/>
    <w:link w:val="5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3">
    <w:name w:val="Title Char"/>
    <w:link w:val="502"/>
    <w:uiPriority w:val="10"/>
    <w:rPr>
      <w:sz w:val="48"/>
      <w:szCs w:val="48"/>
    </w:rPr>
  </w:style>
  <w:style w:type="paragraph" w:styleId="504">
    <w:name w:val="Subtitle"/>
    <w:link w:val="505"/>
    <w:qFormat/>
    <w:uiPriority w:val="11"/>
    <w:rPr>
      <w:sz w:val="24"/>
      <w:szCs w:val="24"/>
    </w:rPr>
    <w:pPr>
      <w:spacing w:after="200" w:before="200"/>
    </w:pPr>
  </w:style>
  <w:style w:type="character" w:styleId="505">
    <w:name w:val="Subtitle Char"/>
    <w:link w:val="504"/>
    <w:uiPriority w:val="11"/>
    <w:rPr>
      <w:sz w:val="24"/>
      <w:szCs w:val="24"/>
    </w:rPr>
  </w:style>
  <w:style w:type="paragraph" w:styleId="506">
    <w:name w:val="Quote"/>
    <w:link w:val="507"/>
    <w:qFormat/>
    <w:uiPriority w:val="29"/>
    <w:rPr>
      <w:i/>
    </w:rPr>
    <w:pPr>
      <w:ind w:left="720" w:right="720"/>
    </w:pPr>
  </w:style>
  <w:style w:type="character" w:styleId="507">
    <w:name w:val="Quote Char"/>
    <w:link w:val="506"/>
    <w:uiPriority w:val="29"/>
    <w:rPr>
      <w:i/>
    </w:rPr>
  </w:style>
  <w:style w:type="paragraph" w:styleId="508">
    <w:name w:val="Intense Quote"/>
    <w:link w:val="50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9">
    <w:name w:val="Intense Quote Char"/>
    <w:link w:val="508"/>
    <w:uiPriority w:val="30"/>
    <w:rPr>
      <w:i/>
    </w:rPr>
  </w:style>
  <w:style w:type="paragraph" w:styleId="510">
    <w:name w:val="Header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Header Char"/>
    <w:link w:val="510"/>
    <w:uiPriority w:val="99"/>
  </w:style>
  <w:style w:type="paragraph" w:styleId="512">
    <w:name w:val="Foot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Footer Char"/>
    <w:link w:val="512"/>
    <w:uiPriority w:val="99"/>
  </w:style>
  <w:style w:type="table" w:styleId="5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0">
    <w:name w:val="Hyperlink"/>
    <w:uiPriority w:val="99"/>
    <w:unhideWhenUsed/>
    <w:rPr>
      <w:color w:val="0000FF" w:themeColor="hyperlink"/>
      <w:u w:val="single"/>
    </w:rPr>
  </w:style>
  <w:style w:type="paragraph" w:styleId="641">
    <w:name w:val="footnote text"/>
    <w:link w:val="642"/>
    <w:uiPriority w:val="99"/>
    <w:semiHidden/>
    <w:unhideWhenUsed/>
    <w:rPr>
      <w:sz w:val="18"/>
    </w:rPr>
    <w:pPr>
      <w:spacing w:lineRule="auto" w:line="240" w:after="40"/>
    </w:pPr>
  </w:style>
  <w:style w:type="character" w:styleId="642">
    <w:name w:val="Footnote Text Char"/>
    <w:link w:val="641"/>
    <w:uiPriority w:val="99"/>
    <w:rPr>
      <w:sz w:val="18"/>
    </w:rPr>
  </w:style>
  <w:style w:type="character" w:styleId="643">
    <w:name w:val="footnote reference"/>
    <w:uiPriority w:val="99"/>
    <w:unhideWhenUsed/>
    <w:rPr>
      <w:vertAlign w:val="superscript"/>
    </w:rPr>
  </w:style>
  <w:style w:type="paragraph" w:styleId="644">
    <w:name w:val="toc 1"/>
    <w:uiPriority w:val="39"/>
    <w:unhideWhenUsed/>
    <w:pPr>
      <w:ind w:left="0" w:right="0" w:firstLine="0"/>
      <w:spacing w:after="57"/>
    </w:pPr>
  </w:style>
  <w:style w:type="paragraph" w:styleId="645">
    <w:name w:val="toc 2"/>
    <w:uiPriority w:val="39"/>
    <w:unhideWhenUsed/>
    <w:pPr>
      <w:ind w:left="283" w:right="0" w:firstLine="0"/>
      <w:spacing w:after="57"/>
    </w:pPr>
  </w:style>
  <w:style w:type="paragraph" w:styleId="646">
    <w:name w:val="toc 3"/>
    <w:uiPriority w:val="39"/>
    <w:unhideWhenUsed/>
    <w:pPr>
      <w:ind w:left="567" w:right="0" w:firstLine="0"/>
      <w:spacing w:after="57"/>
    </w:pPr>
  </w:style>
  <w:style w:type="paragraph" w:styleId="647">
    <w:name w:val="toc 4"/>
    <w:uiPriority w:val="39"/>
    <w:unhideWhenUsed/>
    <w:pPr>
      <w:ind w:left="850" w:right="0" w:firstLine="0"/>
      <w:spacing w:after="57"/>
    </w:pPr>
  </w:style>
  <w:style w:type="paragraph" w:styleId="648">
    <w:name w:val="toc 5"/>
    <w:uiPriority w:val="39"/>
    <w:unhideWhenUsed/>
    <w:pPr>
      <w:ind w:left="1134" w:right="0" w:firstLine="0"/>
      <w:spacing w:after="57"/>
    </w:pPr>
  </w:style>
  <w:style w:type="paragraph" w:styleId="649">
    <w:name w:val="toc 6"/>
    <w:uiPriority w:val="39"/>
    <w:unhideWhenUsed/>
    <w:pPr>
      <w:ind w:left="1417" w:right="0" w:firstLine="0"/>
      <w:spacing w:after="57"/>
    </w:pPr>
  </w:style>
  <w:style w:type="paragraph" w:styleId="650">
    <w:name w:val="toc 7"/>
    <w:uiPriority w:val="39"/>
    <w:unhideWhenUsed/>
    <w:pPr>
      <w:ind w:left="1701" w:right="0" w:firstLine="0"/>
      <w:spacing w:after="57"/>
    </w:pPr>
  </w:style>
  <w:style w:type="paragraph" w:styleId="651">
    <w:name w:val="toc 8"/>
    <w:uiPriority w:val="39"/>
    <w:unhideWhenUsed/>
    <w:pPr>
      <w:ind w:left="1984" w:right="0" w:firstLine="0"/>
      <w:spacing w:after="57"/>
    </w:pPr>
  </w:style>
  <w:style w:type="paragraph" w:styleId="652">
    <w:name w:val="toc 9"/>
    <w:uiPriority w:val="39"/>
    <w:unhideWhenUsed/>
    <w:pPr>
      <w:ind w:left="2268" w:right="0" w:firstLine="0"/>
      <w:spacing w:after="57"/>
    </w:pPr>
  </w:style>
  <w:style w:type="paragraph" w:styleId="653">
    <w:name w:val="TOC Heading"/>
    <w:uiPriority w:val="39"/>
    <w:unhideWhenUsed/>
  </w:style>
  <w:style w:type="paragraph" w:styleId="654">
    <w:name w:val="Обычный"/>
    <w:next w:val="654"/>
    <w:link w:val="654"/>
    <w:rPr>
      <w:lang w:val="ru-RU" w:bidi="ar-SA" w:eastAsia="ru-RU"/>
    </w:rPr>
    <w:pPr>
      <w:widowControl w:val="off"/>
    </w:pPr>
  </w:style>
  <w:style w:type="paragraph" w:styleId="655">
    <w:name w:val="Заголовок 3"/>
    <w:basedOn w:val="654"/>
    <w:next w:val="654"/>
    <w:link w:val="65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6">
    <w:name w:val="Основной шрифт абзаца"/>
    <w:next w:val="656"/>
    <w:link w:val="654"/>
    <w:semiHidden/>
  </w:style>
  <w:style w:type="table" w:styleId="657">
    <w:name w:val="Обычная таблица"/>
    <w:next w:val="657"/>
    <w:link w:val="654"/>
    <w:semiHidden/>
    <w:tblPr/>
  </w:style>
  <w:style w:type="numbering" w:styleId="658">
    <w:name w:val="Нет списка"/>
    <w:next w:val="658"/>
    <w:link w:val="654"/>
    <w:semiHidden/>
  </w:style>
  <w:style w:type="table" w:styleId="659">
    <w:name w:val="Сетка таблицы"/>
    <w:basedOn w:val="657"/>
    <w:next w:val="659"/>
    <w:link w:val="654"/>
    <w:pPr>
      <w:widowControl w:val="off"/>
    </w:pPr>
    <w:tblPr/>
  </w:style>
  <w:style w:type="paragraph" w:styleId="660">
    <w:name w:val="Абзац списка"/>
    <w:basedOn w:val="654"/>
    <w:next w:val="660"/>
    <w:link w:val="654"/>
    <w:rPr>
      <w:sz w:val="24"/>
      <w:szCs w:val="24"/>
    </w:rPr>
    <w:pPr>
      <w:ind w:left="708"/>
      <w:widowControl/>
    </w:pPr>
  </w:style>
  <w:style w:type="character" w:styleId="661">
    <w:name w:val="apple-converted-space"/>
    <w:basedOn w:val="656"/>
    <w:next w:val="661"/>
    <w:link w:val="654"/>
  </w:style>
  <w:style w:type="character" w:styleId="662" w:default="1">
    <w:name w:val="Default Paragraph Font"/>
    <w:uiPriority w:val="1"/>
    <w:semiHidden/>
    <w:unhideWhenUsed/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qFormat/>
  </w:style>
  <w:style w:type="table" w:styleId="6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35</cp:revision>
  <dcterms:modified xsi:type="dcterms:W3CDTF">2022-12-20T03:54:49Z</dcterms:modified>
</cp:coreProperties>
</file>