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03.10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30.12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26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18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 (8 протоколов перешли в 2023г.)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17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15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18500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15 на сумму</w:t>
                  </w:r>
                  <w:r>
                    <w:rPr>
                      <w:sz w:val="20"/>
                      <w:szCs w:val="20"/>
                    </w:rPr>
                    <w:t xml:space="preserve"> 1850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2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2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12000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4000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18500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8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6600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предупреж</w:t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22000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5400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26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41600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  <w:t xml:space="preserve">15предупреж</w:t>
            </w:r>
            <w:r>
              <w:rPr>
                <w:sz w:val="22"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2"/>
              </w:rPr>
            </w:pP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  <w:t xml:space="preserve">4 прекращен</w:t>
            </w: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1327.11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2327.11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18672.89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2021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1прекращено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56000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8727.11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63872.89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34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15прекращ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34</cp:revision>
  <dcterms:created xsi:type="dcterms:W3CDTF">2019-06-27T07:52:00Z</dcterms:created>
  <dcterms:modified xsi:type="dcterms:W3CDTF">2023-01-16T03:53:45Z</dcterms:modified>
</cp:coreProperties>
</file>