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jc w:val="center"/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работы</w:t>
      </w:r>
      <w:r>
        <w:rPr>
          <w:sz w:val="24"/>
          <w:szCs w:val="24"/>
        </w:rPr>
      </w:r>
      <w:r/>
    </w:p>
    <w:p>
      <w:pPr>
        <w:pStyle w:val="55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муниципальных служащих, проходящих службу в Администрации Кожевниковского района, и урегулированию конфликта интересов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2021</w:t>
      </w:r>
      <w:r>
        <w:rPr>
          <w:b/>
          <w:bCs/>
          <w:sz w:val="24"/>
          <w:szCs w:val="24"/>
        </w:rPr>
        <w:t xml:space="preserve"> год</w:t>
      </w:r>
      <w:r>
        <w:rPr>
          <w:b/>
          <w:sz w:val="24"/>
          <w:szCs w:val="24"/>
        </w:rPr>
      </w:r>
      <w:r/>
    </w:p>
    <w:p>
      <w:pPr>
        <w:pStyle w:val="558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686"/>
        <w:gridCol w:w="6969"/>
        <w:gridCol w:w="2549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мероприятия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8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организации работы по своевременному предоставлению сведений о расходах, доходах, об имуществе и обязательствах имущественного характера </w:t>
            </w:r>
            <w:r>
              <w:rPr>
                <w:bCs/>
                <w:sz w:val="24"/>
                <w:szCs w:val="24"/>
              </w:rPr>
              <w:t xml:space="preserve">муниципальными служащими за 2020</w:t>
            </w:r>
            <w:r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при заполнении справок о доходах, об имуществе и обязательствах имущественного характера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выполнения муниципальными служащими, замещающими должности в Администрации Кожевниковского района, обязанности предоставления сведений о доходах, о расходах, об имуществе и обязательствах </w:t>
            </w:r>
            <w:r>
              <w:rPr>
                <w:sz w:val="24"/>
                <w:szCs w:val="24"/>
              </w:rPr>
              <w:t xml:space="preserve">имущественного характера за 2020</w:t>
            </w:r>
            <w:r>
              <w:rPr>
                <w:sz w:val="24"/>
                <w:szCs w:val="24"/>
              </w:rPr>
              <w:t xml:space="preserve"> год</w:t>
            </w:r>
            <w:r/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98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отделом правовой и кадровой работы Администрации Кожевниковского района обязанности по размещению сведений о доходах, о расходах, об имуществе и обязательствах имущественного характера муниципальных служащих Администраци</w:t>
            </w:r>
            <w:r>
              <w:rPr>
                <w:sz w:val="24"/>
                <w:szCs w:val="24"/>
              </w:rPr>
              <w:t xml:space="preserve">и Кожевниковского района за 2020</w:t>
            </w:r>
            <w:r>
              <w:rPr>
                <w:sz w:val="24"/>
                <w:szCs w:val="24"/>
              </w:rPr>
              <w:t xml:space="preserve"> год на официальном сайте органов местного самоуправления Кожевниковского района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129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в 2020</w:t>
            </w:r>
            <w:r>
              <w:rPr>
                <w:sz w:val="24"/>
                <w:szCs w:val="24"/>
              </w:rPr>
              <w:t xml:space="preserve"> году муниципальными</w:t>
            </w:r>
            <w:r>
              <w:rPr>
                <w:sz w:val="24"/>
                <w:szCs w:val="24"/>
              </w:rPr>
              <w:t xml:space="preserve"> служащими, замещающими должности в Администрации Кожевниковского района, требования по уведомлению представителя нанимателя об осуществлении иной оплачиваемой деятельности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862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проведении разъяснительной работы среди </w:t>
            </w:r>
            <w:r>
              <w:rPr>
                <w:bCs/>
                <w:sz w:val="24"/>
                <w:szCs w:val="24"/>
              </w:rPr>
              <w:t xml:space="preserve">муниципальных служащих и работников Администрации Кожевниковского района</w:t>
            </w:r>
            <w:r>
              <w:rPr>
                <w:bCs/>
                <w:sz w:val="24"/>
                <w:szCs w:val="24"/>
              </w:rPr>
              <w:t xml:space="preserve"> по предотвращению конфликта интересов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577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Комиссии </w:t>
            </w:r>
            <w:r>
              <w:rPr>
                <w:sz w:val="24"/>
                <w:szCs w:val="24"/>
              </w:rPr>
              <w:t xml:space="preserve">в 2021</w:t>
            </w:r>
            <w:r>
              <w:rPr>
                <w:sz w:val="24"/>
                <w:szCs w:val="24"/>
              </w:rPr>
              <w:t xml:space="preserve"> году, </w:t>
            </w:r>
            <w:r>
              <w:rPr>
                <w:sz w:val="24"/>
                <w:szCs w:val="24"/>
              </w:rPr>
              <w:t xml:space="preserve">утверждение плана работы на 20</w:t>
            </w: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квартал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577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Рассмотрение доклада о результатах </w:t>
            </w:r>
            <w:r>
              <w:rPr>
                <w:sz w:val="24"/>
                <w:szCs w:val="24"/>
              </w:rPr>
              <w:t xml:space="preserve">анализа сведений, содержащихся в анкетах лиц, представляемых при назначении на муниципальные должности, должности муниципально</w:t>
            </w:r>
            <w:r>
              <w:rPr>
                <w:sz w:val="24"/>
                <w:szCs w:val="24"/>
              </w:rPr>
              <w:t xml:space="preserve">й службы, об их родственниках и свойственниках в целях выявления возможного конфликта интересов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реже одного раза в полугодие</w:t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77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ind w:firstLine="43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Рассмотрение результатов </w:t>
            </w:r>
            <w:r>
              <w:rPr>
                <w:sz w:val="24"/>
                <w:szCs w:val="24"/>
              </w:rPr>
              <w:t xml:space="preserve">организации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vMerge w:val="restart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Ежегодно</w:t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информаций</w:t>
            </w:r>
            <w:r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нарушении муниципальными служащими</w:t>
            </w:r>
            <w:r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требований к служебному поведению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t xml:space="preserve">необходимости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13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Уведомлений муниципальных служащих</w:t>
            </w:r>
            <w:r>
              <w:rPr>
                <w:sz w:val="24"/>
                <w:szCs w:val="24"/>
              </w:rPr>
              <w:t xml:space="preserve"> о наличи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 xml:space="preserve">заинтересованности, которая </w:t>
            </w:r>
            <w:r>
              <w:rPr>
                <w:sz w:val="24"/>
                <w:szCs w:val="24"/>
              </w:rPr>
              <w:t xml:space="preserve">может привести </w:t>
            </w:r>
            <w:r>
              <w:rPr>
                <w:sz w:val="24"/>
                <w:szCs w:val="24"/>
              </w:rPr>
              <w:t xml:space="preserve">к конфликту интересов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t xml:space="preserve">необходимости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43" w:hRule="exact"/>
        </w:trPr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8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969" w:type="dxa"/>
            <w:vAlign w:val="top"/>
            <w:textDirection w:val="lrTb"/>
            <w:noWrap w:val="false"/>
          </w:tcPr>
          <w:p>
            <w:pPr>
              <w:pStyle w:val="558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органов </w:t>
            </w:r>
            <w:r>
              <w:rPr>
                <w:sz w:val="24"/>
                <w:szCs w:val="24"/>
              </w:rPr>
              <w:t xml:space="preserve">мес</w:t>
            </w:r>
            <w:r>
              <w:rPr>
                <w:sz w:val="24"/>
                <w:szCs w:val="24"/>
              </w:rPr>
              <w:t xml:space="preserve">тного самоуправления Кожевниковского </w:t>
            </w:r>
            <w:r>
              <w:rPr>
                <w:sz w:val="24"/>
                <w:szCs w:val="24"/>
              </w:rPr>
              <w:t xml:space="preserve">район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 xml:space="preserve">о результатах работы    Комиссии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49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</w:t>
            </w:r>
            <w:r>
              <w:rPr>
                <w:sz w:val="24"/>
                <w:szCs w:val="24"/>
              </w:rPr>
            </w:r>
            <w:r/>
          </w:p>
        </w:tc>
      </w:tr>
    </w:tbl>
    <w:sectPr>
      <w:footnotePr/>
      <w:type w:val="continuous"/>
      <w:pgSz w:w="11909" w:h="16834" w:orient="portrait"/>
      <w:pgMar w:top="1255" w:right="852" w:bottom="360" w:left="852" w:header="720" w:footer="720"/>
      <w:cols w:num="1" w:sep="0" w:space="6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lang w:val="ru-RU" w:bidi="ar-SA" w:eastAsia="ru-RU"/>
    </w:rPr>
    <w:pPr>
      <w:widowControl w:val="off"/>
    </w:pPr>
  </w:style>
  <w:style w:type="character" w:styleId="559">
    <w:name w:val="Основной шрифт абзаца"/>
    <w:next w:val="559"/>
    <w:link w:val="558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paragraph" w:styleId="562">
    <w:name w:val="Текст выноски"/>
    <w:basedOn w:val="558"/>
    <w:next w:val="562"/>
    <w:link w:val="563"/>
    <w:rPr>
      <w:rFonts w:ascii="Segoe UI" w:hAnsi="Segoe UI"/>
      <w:sz w:val="18"/>
      <w:szCs w:val="18"/>
    </w:rPr>
  </w:style>
  <w:style w:type="character" w:styleId="563">
    <w:name w:val="Текст выноски Знак"/>
    <w:next w:val="563"/>
    <w:link w:val="562"/>
    <w:rPr>
      <w:rFonts w:ascii="Segoe UI" w:hAnsi="Segoe UI"/>
      <w:sz w:val="18"/>
      <w:szCs w:val="18"/>
    </w:rPr>
  </w:style>
  <w:style w:type="character" w:styleId="564" w:default="1">
    <w:name w:val="Default Paragraph Font"/>
    <w:uiPriority w:val="1"/>
    <w:semiHidden/>
    <w:unhideWhenUsed/>
  </w:style>
  <w:style w:type="numbering" w:styleId="565" w:default="1">
    <w:name w:val="No List"/>
    <w:uiPriority w:val="99"/>
    <w:semiHidden/>
    <w:unhideWhenUsed/>
  </w:style>
  <w:style w:type="paragraph" w:styleId="566" w:default="1">
    <w:name w:val="Normal"/>
    <w:qFormat/>
  </w:style>
  <w:style w:type="table" w:styleId="5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2021-06-08T05:32:55Z</dcterms:modified>
</cp:coreProperties>
</file>