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4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20.05</w:t>
      </w:r>
      <w:r>
        <w:rPr>
          <w:b/>
          <w:sz w:val="24"/>
          <w:szCs w:val="24"/>
        </w:rPr>
        <w:t xml:space="preserve">.2021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18</w:t>
      </w:r>
      <w:r/>
    </w:p>
    <w:p>
      <w:pPr>
        <w:pStyle w:val="654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4:00</w:t>
      </w:r>
      <w:r/>
    </w:p>
    <w:p>
      <w:pPr>
        <w:pStyle w:val="654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4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В.Н. Елегечев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  <w:highlight w:val="none"/>
        </w:rPr>
        <w:t xml:space="preserve">Заместитель председателя: С.В. Юркин</w:t>
      </w:r>
      <w:r>
        <w:rPr>
          <w:spacing w:val="-2"/>
          <w:sz w:val="24"/>
          <w:szCs w:val="24"/>
          <w:highlight w:val="none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Акимов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И.Э</w:t>
      </w:r>
      <w:r>
        <w:rPr>
          <w:spacing w:val="-4"/>
          <w:sz w:val="24"/>
          <w:szCs w:val="24"/>
        </w:rPr>
        <w:t xml:space="preserve">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Вакурина Л.Г., </w:t>
      </w:r>
      <w:r>
        <w:rPr>
          <w:spacing w:val="-4"/>
          <w:sz w:val="24"/>
          <w:szCs w:val="24"/>
        </w:rPr>
        <w:t xml:space="preserve">Емельянова Т.А., Гарагуля Н.Л., Степанов С.Н., Грибовская В.В.</w:t>
      </w:r>
      <w:r>
        <w:rPr>
          <w:spacing w:val="-4"/>
          <w:sz w:val="24"/>
          <w:szCs w:val="24"/>
        </w:rPr>
        <w:t xml:space="preserve">, Минькова Н.А.</w:t>
      </w:r>
      <w:r>
        <w:rPr>
          <w:spacing w:val="-4"/>
          <w:sz w:val="24"/>
          <w:szCs w:val="24"/>
        </w:rPr>
        <w:t xml:space="preserve">. 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Тараненко В.В.</w:t>
      </w:r>
      <w:r>
        <w:rPr>
          <w:spacing w:val="-4"/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>
        <w:rPr>
          <w:b/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Повестка:</w:t>
      </w:r>
      <w:r>
        <w:rPr>
          <w:b/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</w:t>
      </w:r>
      <w:r>
        <w:rPr>
          <w:sz w:val="24"/>
        </w:rPr>
        <w:t xml:space="preserve">4:00- 1</w:t>
      </w:r>
      <w:r>
        <w:rPr>
          <w:sz w:val="24"/>
        </w:rPr>
        <w:t xml:space="preserve">4:05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Елегечев В.Н.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 w:val="false"/>
          <w:sz w:val="24"/>
        </w:rPr>
        <w:t xml:space="preserve">председател</w:t>
      </w:r>
      <w:r>
        <w:rPr>
          <w:i w:val="false"/>
          <w:sz w:val="24"/>
        </w:rPr>
        <w:t xml:space="preserve">ь межведомственной комиссии по профилактике</w:t>
      </w:r>
      <w:r>
        <w:rPr>
          <w:i w:val="false"/>
          <w:sz w:val="24"/>
        </w:rPr>
        <w:t xml:space="preserve">   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                                                                                                   </w:t>
      </w:r>
      <w:r>
        <w:rPr>
          <w:i w:val="false"/>
          <w:sz w:val="24"/>
        </w:rPr>
        <w:t xml:space="preserve">правонарушений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муниципального образования </w:t>
      </w:r>
      <w:r>
        <w:rPr>
          <w:i w:val="false"/>
          <w:sz w:val="24"/>
        </w:rPr>
        <w:t xml:space="preserve">Кожевниковский</w:t>
      </w:r>
      <w:r>
        <w:rPr>
          <w:i w:val="false"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4: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4: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 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№19-13/17 от 16</w:t>
      </w:r>
      <w:r>
        <w:rPr>
          <w:sz w:val="24"/>
        </w:rPr>
        <w:t xml:space="preserve">.</w:t>
      </w:r>
      <w:r>
        <w:rPr>
          <w:sz w:val="24"/>
        </w:rPr>
        <w:t xml:space="preserve">02.2021г.</w:t>
      </w:r>
      <w:r>
        <w:rPr>
          <w:sz w:val="24"/>
        </w:rPr>
      </w:r>
      <w:r/>
    </w:p>
    <w:p>
      <w:pPr>
        <w:pStyle w:val="500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0"/>
        <w:ind w:left="720"/>
        <w:jc w:val="center"/>
        <w:rPr>
          <w:sz w:val="24"/>
        </w:rPr>
      </w:pPr>
      <w:r>
        <w:rPr>
          <w:sz w:val="24"/>
        </w:rPr>
        <w:t xml:space="preserve">14:10 – 14:20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 xml:space="preserve">проводимой информационной политике в сфере профилактики преступлений, связанных с мошенничеством с использованием сети Интернет и мобильной связи</w:t>
      </w:r>
      <w:r>
        <w:rPr>
          <w:sz w:val="24"/>
        </w:rPr>
        <w:t xml:space="preserve"> в 2021</w:t>
      </w:r>
      <w:r>
        <w:rPr>
          <w:sz w:val="24"/>
        </w:rPr>
        <w:t xml:space="preserve"> году</w:t>
      </w:r>
      <w:r>
        <w:rPr>
          <w:sz w:val="24"/>
        </w:rPr>
        <w:t xml:space="preserve">. </w:t>
      </w:r>
      <w:r>
        <w:rPr>
          <w:sz w:val="24"/>
        </w:rPr>
        <w:t xml:space="preserve">(</w:t>
      </w:r>
      <w:r>
        <w:rPr>
          <w:sz w:val="24"/>
        </w:rPr>
        <w:t xml:space="preserve">ОМВД по Кожевниковскому району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14:</w:t>
      </w:r>
      <w:r>
        <w:rPr>
          <w:sz w:val="24"/>
        </w:rPr>
        <w:t xml:space="preserve">20 – 14:</w:t>
      </w:r>
      <w:r>
        <w:rPr>
          <w:sz w:val="24"/>
        </w:rPr>
        <w:t xml:space="preserve">30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  <w:highlight w:val="none"/>
        </w:rPr>
      </w:pPr>
      <w:r>
        <w:rPr>
          <w:sz w:val="24"/>
        </w:rPr>
        <w:t xml:space="preserve">3. </w:t>
      </w:r>
      <w:r>
        <w:rPr>
          <w:sz w:val="24"/>
        </w:rPr>
        <w:t xml:space="preserve">О</w:t>
      </w:r>
      <w:r>
        <w:rPr>
          <w:sz w:val="24"/>
        </w:rPr>
        <w:t xml:space="preserve"> запланированных мерах по организации отдыха и трудоустройства несовершеннолетних, состоящих на учетах в органах субъектов профилактики, в летний период 2021 года. </w:t>
      </w:r>
      <w:r>
        <w:rPr>
          <w:sz w:val="24"/>
        </w:rPr>
        <w:t xml:space="preserve">(</w:t>
      </w:r>
      <w:r>
        <w:rPr>
          <w:sz w:val="24"/>
        </w:rPr>
        <w:t xml:space="preserve">ОГКУ «Центр занятости </w:t>
      </w:r>
      <w:r>
        <w:rPr>
          <w:sz w:val="24"/>
        </w:rPr>
        <w:t xml:space="preserve">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</w:t>
      </w:r>
      <w:r>
        <w:rPr>
          <w:sz w:val="24"/>
        </w:rPr>
        <w:t xml:space="preserve">,</w:t>
      </w:r>
      <w:r>
        <w:rPr>
          <w:sz w:val="24"/>
        </w:rPr>
        <w:t xml:space="preserve"> отдел образования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</w:t>
      </w:r>
      <w:r>
        <w:rPr>
          <w:sz w:val="24"/>
        </w:rPr>
        <w:t xml:space="preserve">, КДН и ЗП Кожевниковского района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14:</w:t>
      </w:r>
      <w:r>
        <w:rPr>
          <w:sz w:val="24"/>
        </w:rPr>
        <w:t xml:space="preserve">30 – 14:</w:t>
      </w:r>
      <w:r>
        <w:rPr>
          <w:sz w:val="24"/>
        </w:rPr>
        <w:t xml:space="preserve">40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О принимаемых мерах органами опеки и попечительства по защите законных прав и интересов несовершеннолетних</w:t>
      </w:r>
      <w:r>
        <w:rPr>
          <w:sz w:val="24"/>
        </w:rPr>
        <w:t xml:space="preserve"> (Отдел опеки и попечительства Администрации Кожевниковского района)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605"/>
        <w:gridCol w:w="3189"/>
        <w:gridCol w:w="186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sz w:val="24"/>
                <w:szCs w:val="24"/>
              </w:rPr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2.2. Усилить работу направленную на повышени</w:t>
            </w:r>
            <w:r>
              <w:rPr>
                <w:sz w:val="24"/>
                <w:szCs w:val="24"/>
              </w:rPr>
              <w:t xml:space="preserve">е результативности по предупреждению, пресечению и раскрытию хищений денежных средств с использованием информационно-телекоммуникационных технологий. Повысит уровень взаимодействия со СМИ в данной сфере, обеспечив более широкое освещение данной проблемы.  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 течение 2021г.</w:t>
            </w:r>
            <w:r/>
          </w:p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 в течение 2021 года . 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2.3. Принять дополнительные меры по повышению эффективности работы в сфере профилактики подростковой преступности, и преступлениям связанным с незаконным оборотом  наркотиков.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 течение 2021г.</w:t>
            </w:r>
            <w:r/>
          </w:p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2021 года. </w:t>
            </w:r>
            <w:r/>
          </w:p>
          <w:p>
            <w:pPr>
              <w:pStyle w:val="654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П</w:t>
            </w:r>
            <w:r>
              <w:t xml:space="preserve">.  </w:t>
            </w:r>
            <w:r>
              <w:rPr>
                <w:sz w:val="24"/>
                <w:szCs w:val="24"/>
              </w:rPr>
              <w:t xml:space="preserve">3.2. </w:t>
            </w:r>
            <w:r>
              <w:rPr>
                <w:sz w:val="24"/>
                <w:szCs w:val="24"/>
              </w:rPr>
              <w:t xml:space="preserve">Изучить методические рекомендации «О межведомственном взаимодействии субъектов профилактики на муниципальном уровне п</w:t>
            </w:r>
            <w:r>
              <w:rPr>
                <w:sz w:val="24"/>
                <w:szCs w:val="24"/>
              </w:rPr>
              <w:t xml:space="preserve">о вопросам организации работы с совершеннолетними лицами, прибывшими на постоянное место жительства из учреждений, исполняющих наказания»  утвержденные областной межведомственной комиссией по профилактике правонарушений для дальнейшего применения в работе.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в течение 2021 года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Субъекты межведомственного взаимодействия Кожевниковского района.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2021 года. 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3.3. Осуществлять обмен информацией в рамках межведомственного взаимодействия в соответствии с законодательством Российской Федерации и методическими рекомендациями.</w:t>
            </w:r>
            <w:r>
              <w:rPr>
                <w:color w:val="000000"/>
              </w:rPr>
            </w:r>
            <w:r/>
          </w:p>
          <w:p>
            <w:pPr>
              <w:pStyle w:val="654"/>
              <w:jc w:val="both"/>
            </w:pPr>
            <w:r>
              <w:rPr>
                <w:color w:val="000000"/>
                <w:sz w:val="24"/>
                <w:szCs w:val="24"/>
                <w:shd w:val="clear" w:fill="FFFFFF" w:color="FFFFFF"/>
              </w:rPr>
              <w:t xml:space="preserve">Про</w:t>
            </w:r>
            <w:r>
              <w:rPr>
                <w:color w:val="000000"/>
                <w:sz w:val="24"/>
                <w:szCs w:val="24"/>
                <w:shd w:val="clear" w:fill="FFFFFF" w:color="FFFFFF"/>
              </w:rPr>
              <w:t xml:space="preserve">должить о</w:t>
            </w:r>
            <w:r>
              <w:rPr>
                <w:color w:val="000000"/>
                <w:sz w:val="24"/>
                <w:szCs w:val="24"/>
                <w:shd w:val="clear" w:fill="FFFFFF" w:color="FFFFFF"/>
              </w:rPr>
              <w:t xml:space="preserve">существлять контроль за лицами, освободившимися из мест лишения свободы, состоящими на учете в </w:t>
            </w:r>
            <w:r>
              <w:rPr>
                <w:sz w:val="24"/>
                <w:szCs w:val="24"/>
              </w:rPr>
              <w:t xml:space="preserve">органах и учреждениях системы профилактики.</w:t>
            </w:r>
            <w:r/>
          </w:p>
          <w:p>
            <w:pPr>
              <w:pStyle w:val="65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в течение 2021 года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Субъекты межведомственного взаимодействия Кожевниковского района.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2021 года. </w:t>
            </w:r>
            <w:r/>
          </w:p>
          <w:p>
            <w:r/>
            <w:r/>
          </w:p>
        </w:tc>
      </w:tr>
    </w:tbl>
    <w:p>
      <w:pPr>
        <w:pStyle w:val="65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4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both"/>
      </w:pPr>
      <w:r>
        <w:rPr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исполнением решений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3/17 от 16</w:t>
      </w:r>
      <w:r>
        <w:rPr>
          <w:sz w:val="24"/>
          <w:szCs w:val="24"/>
        </w:rPr>
        <w:t xml:space="preserve">.02</w:t>
      </w:r>
      <w:r>
        <w:rPr>
          <w:sz w:val="24"/>
          <w:szCs w:val="24"/>
        </w:rPr>
        <w:t xml:space="preserve">.2021г. пункты № 2.</w:t>
      </w:r>
      <w:r>
        <w:rPr>
          <w:sz w:val="24"/>
          <w:szCs w:val="24"/>
        </w:rPr>
        <w:t xml:space="preserve">2, 2.3., 3.2, 3.3 .осуществлять контроль в течение 2021 года . 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Врио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полиции ОМВД России по Кожевниковскому району – Камалова Р.Н.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 на 1</w:t>
      </w:r>
      <w:r>
        <w:rPr>
          <w:sz w:val="24"/>
          <w:szCs w:val="24"/>
        </w:rPr>
        <w:t xml:space="preserve"> лист</w:t>
      </w:r>
      <w:r>
        <w:rPr>
          <w:rFonts w:eastAsia="Calibri"/>
          <w:i w:val="false"/>
          <w:sz w:val="24"/>
          <w:szCs w:val="24"/>
        </w:rPr>
        <w:t xml:space="preserve">е)</w:t>
      </w:r>
      <w:r/>
    </w:p>
    <w:p>
      <w:pPr>
        <w:pStyle w:val="654"/>
        <w:jc w:val="both"/>
      </w:pPr>
      <w:r>
        <w:rPr>
          <w:b w:val="false"/>
          <w:i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2.1. Информацию принять к сведению. 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Принять дополнительные меры по</w:t>
      </w:r>
      <w:r>
        <w:rPr>
          <w:sz w:val="24"/>
          <w:szCs w:val="24"/>
        </w:rPr>
        <w:t xml:space="preserve"> информированию граждан о хищений денежных средств с использованием информационно-телекоммуникационных технологий. Продолжить взаимодействие со СМИ в данной сфере.  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 в течение 2021 года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ОМВД России по Кожевниковскому району</w:t>
      </w:r>
      <w:r>
        <w:rPr>
          <w:sz w:val="24"/>
          <w:szCs w:val="24"/>
        </w:rPr>
        <w:t xml:space="preserve">.</w:t>
      </w:r>
      <w:r/>
    </w:p>
    <w:p>
      <w:pPr>
        <w:pStyle w:val="654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</w:pPr>
      <w:r>
        <w:rPr>
          <w:i/>
          <w:sz w:val="24"/>
          <w:szCs w:val="24"/>
          <w:highlight w:val="none"/>
        </w:rPr>
      </w:r>
      <w:r>
        <w:rPr>
          <w:i/>
          <w:sz w:val="24"/>
          <w:szCs w:val="24"/>
          <w:highlight w:val="none"/>
        </w:rPr>
      </w:r>
      <w:r/>
    </w:p>
    <w:p>
      <w:pPr>
        <w:pStyle w:val="654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директора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ОГКУ «Центр занятости населения Кожевниковского района»</w:t>
      </w:r>
      <w:r>
        <w:rPr>
          <w:i/>
          <w:sz w:val="24"/>
          <w:szCs w:val="24"/>
        </w:rPr>
        <w:t xml:space="preserve"> - Вакурину Л.Г</w:t>
      </w:r>
      <w:r>
        <w:rPr>
          <w:i/>
          <w:sz w:val="24"/>
          <w:szCs w:val="24"/>
        </w:rPr>
        <w:t xml:space="preserve">.</w:t>
      </w:r>
      <w:r>
        <w:rPr>
          <w:i/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директор</w:t>
      </w:r>
      <w:r>
        <w:rPr>
          <w:sz w:val="24"/>
          <w:szCs w:val="24"/>
        </w:rPr>
        <w:t xml:space="preserve">а </w:t>
      </w:r>
      <w:r>
        <w:rPr>
          <w:i/>
          <w:sz w:val="24"/>
          <w:szCs w:val="24"/>
        </w:rPr>
        <w:t xml:space="preserve">ОГКУ «Центр социальной </w:t>
      </w:r>
      <w:r>
        <w:rPr>
          <w:i/>
          <w:sz w:val="24"/>
          <w:szCs w:val="24"/>
        </w:rPr>
        <w:t xml:space="preserve">поддержки </w:t>
      </w:r>
      <w:r>
        <w:rPr>
          <w:i/>
          <w:sz w:val="24"/>
          <w:szCs w:val="24"/>
        </w:rPr>
        <w:t xml:space="preserve"> населения Кожевниковского района»</w:t>
      </w:r>
      <w:r>
        <w:rPr>
          <w:i/>
          <w:sz w:val="24"/>
          <w:szCs w:val="24"/>
        </w:rPr>
        <w:t xml:space="preserve"> - Акимова И.Э.,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отдела образования Администрации Кожевниковского района - , ответственного секретаря главного специалиста КДН и ЗП Кожевниковского района - Гарагуля Н.Л.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тся на </w:t>
      </w:r>
      <w:r>
        <w:rPr>
          <w:sz w:val="24"/>
          <w:szCs w:val="24"/>
        </w:rPr>
        <w:t xml:space="preserve">3 лист</w:t>
      </w:r>
      <w:r>
        <w:rPr>
          <w:sz w:val="24"/>
          <w:szCs w:val="24"/>
        </w:rPr>
        <w:t xml:space="preserve">ах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rFonts w:eastAsia="Calibri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3.2. Руководителям образовательных организаций района обеспечить трудоустройство либо организовать летний отдых в лагерях с дневным пребыванием при школах несовершеннолетних граждан, состоящих на учетах в органах субъектов профилактики.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июнь - август 2021 года</w:t>
      </w:r>
      <w:r/>
    </w:p>
    <w:p>
      <w:pPr>
        <w:pStyle w:val="654"/>
        <w:jc w:val="both"/>
        <w:rPr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sz w:val="24"/>
          <w:szCs w:val="24"/>
        </w:rPr>
        <w:t xml:space="preserve">Отдел образования Администрации Кожевниковского района, руководители </w:t>
      </w:r>
      <w:r>
        <w:rPr>
          <w:sz w:val="24"/>
          <w:szCs w:val="24"/>
        </w:rPr>
        <w:t xml:space="preserve">образовательных организаций района.</w:t>
      </w:r>
      <w:r>
        <w:rPr>
          <w:sz w:val="24"/>
          <w:szCs w:val="24"/>
        </w:rPr>
      </w:r>
      <w:r/>
    </w:p>
    <w:p>
      <w:pPr>
        <w:pStyle w:val="654"/>
        <w:jc w:val="both"/>
        <w:shd w:val="clear" w:fill="FFFFFF" w:color="FFFFFF" w:themeFill="background1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3.3. Опубликовать в СМИ </w:t>
      </w:r>
      <w:r>
        <w:rPr>
          <w:sz w:val="24"/>
          <w:szCs w:val="24"/>
        </w:rPr>
        <w:t xml:space="preserve">и интернет - ресурсах информ</w:t>
      </w:r>
      <w:r>
        <w:rPr>
          <w:sz w:val="24"/>
          <w:szCs w:val="24"/>
        </w:rPr>
        <w:t xml:space="preserve">ацию об имеющихся вакансиях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о временному трудоустройству несовершеннолетних граждан на территории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  <w:t xml:space="preserve"> района.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июнь - август 2021 года</w:t>
      </w:r>
      <w:r/>
    </w:p>
    <w:p>
      <w:pPr>
        <w:pStyle w:val="654"/>
        <w:jc w:val="both"/>
        <w:shd w:val="clear" w:fill="FFFFFF" w:color="FFFFFF" w:themeFill="background1"/>
        <w:rPr>
          <w:highlight w:val="none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sz w:val="24"/>
          <w:szCs w:val="24"/>
        </w:rPr>
        <w:t xml:space="preserve">ОГКУ «Центр занятости населения Кожевниковского района»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По четвертому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отдела опеки и попечительства Администрации Кожевниковского района – Грибовскую В.В.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 на 3</w:t>
      </w:r>
      <w:r>
        <w:rPr>
          <w:sz w:val="24"/>
          <w:szCs w:val="24"/>
        </w:rPr>
        <w:t xml:space="preserve"> лист</w:t>
      </w:r>
      <w:r>
        <w:rPr>
          <w:sz w:val="24"/>
          <w:szCs w:val="24"/>
        </w:rPr>
        <w:t xml:space="preserve">ах</w:t>
      </w:r>
      <w:r>
        <w:rPr>
          <w:rFonts w:eastAsia="Calibri"/>
          <w:i/>
          <w:sz w:val="24"/>
          <w:szCs w:val="24"/>
        </w:rPr>
        <w:t xml:space="preserve">)</w:t>
      </w:r>
      <w:r/>
    </w:p>
    <w:p>
      <w:pPr>
        <w:pStyle w:val="654"/>
        <w:jc w:val="both"/>
      </w:pPr>
      <w:r>
        <w:rPr>
          <w:b w:val="false"/>
          <w:i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4.2. </w:t>
      </w:r>
      <w:r>
        <w:rPr>
          <w:sz w:val="24"/>
          <w:szCs w:val="24"/>
        </w:rPr>
        <w:t xml:space="preserve">Продолжить осуществление контроля </w:t>
      </w:r>
      <w:r>
        <w:rPr>
          <w:color w:val="000000"/>
          <w:sz w:val="24"/>
          <w:szCs w:val="24"/>
        </w:rPr>
        <w:t xml:space="preserve">за исполнением опекунами и попечителями своих обязанностей по защите личных и имущественных прав и интересов совершеннолетних лиц,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 в течение 2021 года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sz w:val="24"/>
          <w:szCs w:val="24"/>
        </w:rPr>
        <w:t xml:space="preserve">Отдел опеки и попечительства.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/>
    </w:p>
    <w:p>
      <w:pPr>
        <w:pStyle w:val="654"/>
        <w:jc w:val="both"/>
      </w:pPr>
      <w:r/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В.Н. Елегечев</w:t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4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512"/>
    <w:uiPriority w:val="99"/>
  </w:style>
  <w:style w:type="paragraph" w:styleId="479">
    <w:name w:val="endnote text"/>
    <w:basedOn w:val="664"/>
    <w:link w:val="480"/>
    <w:uiPriority w:val="99"/>
    <w:semiHidden/>
    <w:unhideWhenUsed/>
    <w:rPr>
      <w:sz w:val="20"/>
    </w:rPr>
    <w:pPr>
      <w:spacing w:lineRule="auto" w:line="240" w:after="0"/>
    </w:pPr>
  </w:style>
  <w:style w:type="character" w:styleId="480">
    <w:name w:val="Endnote Text Char"/>
    <w:link w:val="479"/>
    <w:uiPriority w:val="99"/>
    <w:rPr>
      <w:sz w:val="20"/>
    </w:rPr>
  </w:style>
  <w:style w:type="character" w:styleId="481">
    <w:name w:val="endnote reference"/>
    <w:basedOn w:val="662"/>
    <w:uiPriority w:val="99"/>
    <w:semiHidden/>
    <w:unhideWhenUsed/>
    <w:rPr>
      <w:vertAlign w:val="superscript"/>
    </w:rPr>
  </w:style>
  <w:style w:type="paragraph" w:styleId="482">
    <w:name w:val="Heading 1"/>
    <w:link w:val="4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3">
    <w:name w:val="Heading 1 Char"/>
    <w:link w:val="482"/>
    <w:uiPriority w:val="9"/>
    <w:rPr>
      <w:rFonts w:ascii="Arial" w:hAnsi="Arial" w:cs="Arial" w:eastAsia="Arial"/>
      <w:sz w:val="40"/>
      <w:szCs w:val="40"/>
    </w:rPr>
  </w:style>
  <w:style w:type="paragraph" w:styleId="484">
    <w:name w:val="Heading 2"/>
    <w:link w:val="4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5">
    <w:name w:val="Heading 2 Char"/>
    <w:link w:val="484"/>
    <w:uiPriority w:val="9"/>
    <w:rPr>
      <w:rFonts w:ascii="Arial" w:hAnsi="Arial" w:cs="Arial" w:eastAsia="Arial"/>
      <w:sz w:val="34"/>
    </w:rPr>
  </w:style>
  <w:style w:type="paragraph" w:styleId="486">
    <w:name w:val="Heading 3"/>
    <w:link w:val="4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7">
    <w:name w:val="Heading 3 Char"/>
    <w:link w:val="486"/>
    <w:uiPriority w:val="9"/>
    <w:rPr>
      <w:rFonts w:ascii="Arial" w:hAnsi="Arial" w:cs="Arial" w:eastAsia="Arial"/>
      <w:sz w:val="30"/>
      <w:szCs w:val="30"/>
    </w:rPr>
  </w:style>
  <w:style w:type="paragraph" w:styleId="488">
    <w:name w:val="Heading 4"/>
    <w:link w:val="4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9">
    <w:name w:val="Heading 4 Char"/>
    <w:link w:val="488"/>
    <w:uiPriority w:val="9"/>
    <w:rPr>
      <w:rFonts w:ascii="Arial" w:hAnsi="Arial" w:cs="Arial" w:eastAsia="Arial"/>
      <w:b/>
      <w:bCs/>
      <w:sz w:val="26"/>
      <w:szCs w:val="26"/>
    </w:rPr>
  </w:style>
  <w:style w:type="paragraph" w:styleId="490">
    <w:name w:val="Heading 5"/>
    <w:link w:val="4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1">
    <w:name w:val="Heading 5 Char"/>
    <w:link w:val="490"/>
    <w:uiPriority w:val="9"/>
    <w:rPr>
      <w:rFonts w:ascii="Arial" w:hAnsi="Arial" w:cs="Arial" w:eastAsia="Arial"/>
      <w:b/>
      <w:bCs/>
      <w:sz w:val="24"/>
      <w:szCs w:val="24"/>
    </w:rPr>
  </w:style>
  <w:style w:type="paragraph" w:styleId="492">
    <w:name w:val="Heading 6"/>
    <w:link w:val="4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3">
    <w:name w:val="Heading 6 Char"/>
    <w:link w:val="492"/>
    <w:uiPriority w:val="9"/>
    <w:rPr>
      <w:rFonts w:ascii="Arial" w:hAnsi="Arial" w:cs="Arial" w:eastAsia="Arial"/>
      <w:b/>
      <w:bCs/>
      <w:sz w:val="22"/>
      <w:szCs w:val="22"/>
    </w:rPr>
  </w:style>
  <w:style w:type="paragraph" w:styleId="494">
    <w:name w:val="Heading 7"/>
    <w:link w:val="4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5">
    <w:name w:val="Heading 7 Char"/>
    <w:link w:val="4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6">
    <w:name w:val="Heading 8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7">
    <w:name w:val="Heading 8 Char"/>
    <w:link w:val="496"/>
    <w:uiPriority w:val="9"/>
    <w:rPr>
      <w:rFonts w:ascii="Arial" w:hAnsi="Arial" w:cs="Arial" w:eastAsia="Arial"/>
      <w:i/>
      <w:iCs/>
      <w:sz w:val="22"/>
      <w:szCs w:val="22"/>
    </w:rPr>
  </w:style>
  <w:style w:type="paragraph" w:styleId="498">
    <w:name w:val="Heading 9"/>
    <w:link w:val="4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9">
    <w:name w:val="Heading 9 Char"/>
    <w:link w:val="498"/>
    <w:uiPriority w:val="9"/>
    <w:rPr>
      <w:rFonts w:ascii="Arial" w:hAnsi="Arial" w:cs="Arial" w:eastAsia="Arial"/>
      <w:i/>
      <w:iCs/>
      <w:sz w:val="21"/>
      <w:szCs w:val="21"/>
    </w:rPr>
  </w:style>
  <w:style w:type="paragraph" w:styleId="500">
    <w:name w:val="List Paragraph"/>
    <w:qFormat/>
    <w:uiPriority w:val="34"/>
    <w:pPr>
      <w:contextualSpacing w:val="true"/>
      <w:ind w:left="720"/>
    </w:pPr>
  </w:style>
  <w:style w:type="paragraph" w:styleId="501">
    <w:name w:val="No Spacing"/>
    <w:qFormat/>
    <w:uiPriority w:val="1"/>
    <w:pPr>
      <w:spacing w:lineRule="auto" w:line="240" w:after="0" w:before="0"/>
    </w:pPr>
  </w:style>
  <w:style w:type="paragraph" w:styleId="502">
    <w:name w:val="Title"/>
    <w:link w:val="5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3">
    <w:name w:val="Title Char"/>
    <w:link w:val="502"/>
    <w:uiPriority w:val="10"/>
    <w:rPr>
      <w:sz w:val="48"/>
      <w:szCs w:val="48"/>
    </w:rPr>
  </w:style>
  <w:style w:type="paragraph" w:styleId="504">
    <w:name w:val="Subtitle"/>
    <w:link w:val="505"/>
    <w:qFormat/>
    <w:uiPriority w:val="11"/>
    <w:rPr>
      <w:sz w:val="24"/>
      <w:szCs w:val="24"/>
    </w:rPr>
    <w:pPr>
      <w:spacing w:after="200" w:before="200"/>
    </w:pPr>
  </w:style>
  <w:style w:type="character" w:styleId="505">
    <w:name w:val="Subtitle Char"/>
    <w:link w:val="504"/>
    <w:uiPriority w:val="11"/>
    <w:rPr>
      <w:sz w:val="24"/>
      <w:szCs w:val="24"/>
    </w:rPr>
  </w:style>
  <w:style w:type="paragraph" w:styleId="506">
    <w:name w:val="Quote"/>
    <w:link w:val="507"/>
    <w:qFormat/>
    <w:uiPriority w:val="29"/>
    <w:rPr>
      <w:i/>
    </w:rPr>
    <w:pPr>
      <w:ind w:left="720" w:right="720"/>
    </w:pPr>
  </w:style>
  <w:style w:type="character" w:styleId="507">
    <w:name w:val="Quote Char"/>
    <w:link w:val="506"/>
    <w:uiPriority w:val="29"/>
    <w:rPr>
      <w:i/>
    </w:rPr>
  </w:style>
  <w:style w:type="paragraph" w:styleId="508">
    <w:name w:val="Intense Quote"/>
    <w:link w:val="50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9">
    <w:name w:val="Intense Quote Char"/>
    <w:link w:val="508"/>
    <w:uiPriority w:val="30"/>
    <w:rPr>
      <w:i/>
    </w:rPr>
  </w:style>
  <w:style w:type="paragraph" w:styleId="510">
    <w:name w:val="Header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1">
    <w:name w:val="Header Char"/>
    <w:link w:val="510"/>
    <w:uiPriority w:val="99"/>
  </w:style>
  <w:style w:type="paragraph" w:styleId="512">
    <w:name w:val="Foot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Footer Char"/>
    <w:link w:val="512"/>
    <w:uiPriority w:val="99"/>
  </w:style>
  <w:style w:type="table" w:styleId="5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0">
    <w:name w:val="Hyperlink"/>
    <w:uiPriority w:val="99"/>
    <w:unhideWhenUsed/>
    <w:rPr>
      <w:color w:val="0000FF" w:themeColor="hyperlink"/>
      <w:u w:val="single"/>
    </w:rPr>
  </w:style>
  <w:style w:type="paragraph" w:styleId="641">
    <w:name w:val="footnote text"/>
    <w:link w:val="642"/>
    <w:uiPriority w:val="99"/>
    <w:semiHidden/>
    <w:unhideWhenUsed/>
    <w:rPr>
      <w:sz w:val="18"/>
    </w:rPr>
    <w:pPr>
      <w:spacing w:lineRule="auto" w:line="240" w:after="40"/>
    </w:pPr>
  </w:style>
  <w:style w:type="character" w:styleId="642">
    <w:name w:val="Footnote Text Char"/>
    <w:link w:val="641"/>
    <w:uiPriority w:val="99"/>
    <w:rPr>
      <w:sz w:val="18"/>
    </w:rPr>
  </w:style>
  <w:style w:type="character" w:styleId="643">
    <w:name w:val="footnote reference"/>
    <w:uiPriority w:val="99"/>
    <w:unhideWhenUsed/>
    <w:rPr>
      <w:vertAlign w:val="superscript"/>
    </w:rPr>
  </w:style>
  <w:style w:type="paragraph" w:styleId="644">
    <w:name w:val="toc 1"/>
    <w:uiPriority w:val="39"/>
    <w:unhideWhenUsed/>
    <w:pPr>
      <w:ind w:left="0" w:right="0" w:firstLine="0"/>
      <w:spacing w:after="57"/>
    </w:pPr>
  </w:style>
  <w:style w:type="paragraph" w:styleId="645">
    <w:name w:val="toc 2"/>
    <w:uiPriority w:val="39"/>
    <w:unhideWhenUsed/>
    <w:pPr>
      <w:ind w:left="283" w:right="0" w:firstLine="0"/>
      <w:spacing w:after="57"/>
    </w:pPr>
  </w:style>
  <w:style w:type="paragraph" w:styleId="646">
    <w:name w:val="toc 3"/>
    <w:uiPriority w:val="39"/>
    <w:unhideWhenUsed/>
    <w:pPr>
      <w:ind w:left="567" w:right="0" w:firstLine="0"/>
      <w:spacing w:after="57"/>
    </w:pPr>
  </w:style>
  <w:style w:type="paragraph" w:styleId="647">
    <w:name w:val="toc 4"/>
    <w:uiPriority w:val="39"/>
    <w:unhideWhenUsed/>
    <w:pPr>
      <w:ind w:left="850" w:right="0" w:firstLine="0"/>
      <w:spacing w:after="57"/>
    </w:pPr>
  </w:style>
  <w:style w:type="paragraph" w:styleId="648">
    <w:name w:val="toc 5"/>
    <w:uiPriority w:val="39"/>
    <w:unhideWhenUsed/>
    <w:pPr>
      <w:ind w:left="1134" w:right="0" w:firstLine="0"/>
      <w:spacing w:after="57"/>
    </w:pPr>
  </w:style>
  <w:style w:type="paragraph" w:styleId="649">
    <w:name w:val="toc 6"/>
    <w:uiPriority w:val="39"/>
    <w:unhideWhenUsed/>
    <w:pPr>
      <w:ind w:left="1417" w:right="0" w:firstLine="0"/>
      <w:spacing w:after="57"/>
    </w:pPr>
  </w:style>
  <w:style w:type="paragraph" w:styleId="650">
    <w:name w:val="toc 7"/>
    <w:uiPriority w:val="39"/>
    <w:unhideWhenUsed/>
    <w:pPr>
      <w:ind w:left="1701" w:right="0" w:firstLine="0"/>
      <w:spacing w:after="57"/>
    </w:pPr>
  </w:style>
  <w:style w:type="paragraph" w:styleId="651">
    <w:name w:val="toc 8"/>
    <w:uiPriority w:val="39"/>
    <w:unhideWhenUsed/>
    <w:pPr>
      <w:ind w:left="1984" w:right="0" w:firstLine="0"/>
      <w:spacing w:after="57"/>
    </w:pPr>
  </w:style>
  <w:style w:type="paragraph" w:styleId="652">
    <w:name w:val="toc 9"/>
    <w:uiPriority w:val="39"/>
    <w:unhideWhenUsed/>
    <w:pPr>
      <w:ind w:left="2268" w:right="0" w:firstLine="0"/>
      <w:spacing w:after="57"/>
    </w:pPr>
  </w:style>
  <w:style w:type="paragraph" w:styleId="653">
    <w:name w:val="TOC Heading"/>
    <w:uiPriority w:val="39"/>
    <w:unhideWhenUsed/>
  </w:style>
  <w:style w:type="paragraph" w:styleId="654">
    <w:name w:val="Обычный"/>
    <w:next w:val="654"/>
    <w:link w:val="654"/>
    <w:rPr>
      <w:lang w:val="ru-RU" w:bidi="ar-SA" w:eastAsia="ru-RU"/>
    </w:rPr>
    <w:pPr>
      <w:widowControl w:val="off"/>
    </w:pPr>
  </w:style>
  <w:style w:type="paragraph" w:styleId="655">
    <w:name w:val="Заголовок 3"/>
    <w:basedOn w:val="654"/>
    <w:next w:val="654"/>
    <w:link w:val="65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6">
    <w:name w:val="Основной шрифт абзаца"/>
    <w:next w:val="656"/>
    <w:link w:val="654"/>
    <w:semiHidden/>
  </w:style>
  <w:style w:type="table" w:styleId="657">
    <w:name w:val="Обычная таблица"/>
    <w:next w:val="657"/>
    <w:link w:val="654"/>
    <w:semiHidden/>
    <w:tblPr/>
  </w:style>
  <w:style w:type="numbering" w:styleId="658">
    <w:name w:val="Нет списка"/>
    <w:next w:val="658"/>
    <w:link w:val="654"/>
    <w:semiHidden/>
  </w:style>
  <w:style w:type="table" w:styleId="659">
    <w:name w:val="Сетка таблицы"/>
    <w:basedOn w:val="657"/>
    <w:next w:val="659"/>
    <w:link w:val="654"/>
    <w:pPr>
      <w:widowControl w:val="off"/>
    </w:pPr>
    <w:tblPr/>
  </w:style>
  <w:style w:type="paragraph" w:styleId="660">
    <w:name w:val="Абзац списка"/>
    <w:basedOn w:val="654"/>
    <w:next w:val="660"/>
    <w:link w:val="654"/>
    <w:rPr>
      <w:sz w:val="24"/>
      <w:szCs w:val="24"/>
    </w:rPr>
    <w:pPr>
      <w:ind w:left="708"/>
      <w:widowControl/>
    </w:pPr>
  </w:style>
  <w:style w:type="character" w:styleId="661">
    <w:name w:val="apple-converted-space"/>
    <w:basedOn w:val="656"/>
    <w:next w:val="661"/>
    <w:link w:val="654"/>
  </w:style>
  <w:style w:type="character" w:styleId="662" w:default="1">
    <w:name w:val="Default Paragraph Font"/>
    <w:uiPriority w:val="1"/>
    <w:semiHidden/>
    <w:unhideWhenUsed/>
  </w:style>
  <w:style w:type="numbering" w:styleId="663" w:default="1">
    <w:name w:val="No List"/>
    <w:uiPriority w:val="99"/>
    <w:semiHidden/>
    <w:unhideWhenUsed/>
  </w:style>
  <w:style w:type="paragraph" w:styleId="664" w:default="1">
    <w:name w:val="Normal"/>
    <w:qFormat/>
  </w:style>
  <w:style w:type="table" w:styleId="6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2021-05-21T03:23:48Z</dcterms:modified>
</cp:coreProperties>
</file>