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F0" w:rsidRDefault="006A7B2E">
      <w:pPr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достижении целевых показателей и результатах работы</w:t>
      </w:r>
    </w:p>
    <w:p w:rsidR="00A102F0" w:rsidRDefault="006A7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реализации мероприятий в соответствии с отдельными</w:t>
      </w:r>
    </w:p>
    <w:p w:rsidR="00A102F0" w:rsidRDefault="006A7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указами Президента Российской Федерации</w:t>
      </w:r>
    </w:p>
    <w:p w:rsidR="00A102F0" w:rsidRDefault="006A7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Кожевниковский район по состоянию на 31.12.2019 года</w:t>
      </w:r>
    </w:p>
    <w:p w:rsidR="00A102F0" w:rsidRDefault="006A7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 </w:t>
      </w:r>
      <w:bookmarkStart w:id="0" w:name="_GoBack"/>
      <w:bookmarkEnd w:id="0"/>
      <w:r w:rsidR="0030194B">
        <w:rPr>
          <w:b/>
          <w:sz w:val="24"/>
          <w:szCs w:val="24"/>
        </w:rPr>
        <w:t>итогам 2019</w:t>
      </w:r>
      <w:r>
        <w:rPr>
          <w:b/>
          <w:sz w:val="24"/>
          <w:szCs w:val="24"/>
        </w:rPr>
        <w:t xml:space="preserve"> года)</w:t>
      </w:r>
    </w:p>
    <w:p w:rsidR="00A102F0" w:rsidRDefault="00A102F0">
      <w:pPr>
        <w:jc w:val="center"/>
        <w:rPr>
          <w:b/>
        </w:rPr>
      </w:pPr>
    </w:p>
    <w:tbl>
      <w:tblPr>
        <w:tblW w:w="1545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1426"/>
        <w:gridCol w:w="1455"/>
        <w:gridCol w:w="3112"/>
        <w:gridCol w:w="3779"/>
        <w:gridCol w:w="5301"/>
      </w:tblGrid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N</w:t>
            </w:r>
          </w:p>
          <w:p w:rsidR="00A102F0" w:rsidRDefault="006A7B2E">
            <w:pPr>
              <w:jc w:val="center"/>
            </w:pPr>
            <w: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Пункт в соответствии с положениями указов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Срок реализации в соответствии с положениями указов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Отчет о реализации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Отчет о достижении ц</w:t>
            </w:r>
            <w:r>
              <w:t>елевых показателей (нарастающим итогом с начала года)</w:t>
            </w:r>
          </w:p>
        </w:tc>
      </w:tr>
      <w:tr w:rsidR="00A102F0">
        <w:trPr>
          <w:trHeight w:val="55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07.05.2012 № 599</w:t>
            </w:r>
          </w:p>
          <w:p w:rsidR="00A102F0" w:rsidRDefault="006A7B2E">
            <w:pPr>
              <w:keepLines/>
              <w:shd w:val="clear" w:color="auto" w:fill="FFFFFF"/>
              <w:jc w:val="center"/>
              <w:rPr>
                <w:szCs w:val="20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«О мерах по реализации государственной политики в области образования и науки»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Абзац 5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pStyle w:val="26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01.01.2020</w:t>
            </w:r>
          </w:p>
          <w:p w:rsidR="00A102F0" w:rsidRDefault="00A102F0">
            <w:pPr>
              <w:pStyle w:val="26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102F0" w:rsidRDefault="00A102F0">
            <w:pPr>
              <w:pStyle w:val="26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102F0" w:rsidRDefault="00A102F0">
            <w:pPr>
              <w:pStyle w:val="26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102F0" w:rsidRDefault="00A102F0">
            <w:pPr>
              <w:pStyle w:val="26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102F0" w:rsidRDefault="00A102F0">
            <w:pPr>
              <w:pStyle w:val="26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shd w:val="clear" w:color="auto" w:fill="FFFFFF"/>
              <w:jc w:val="both"/>
            </w:pPr>
            <w: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</w:t>
            </w:r>
            <w:r>
              <w:t>едерального бюджета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ind w:firstLine="709"/>
              <w:jc w:val="both"/>
            </w:pPr>
            <w:r>
              <w:rPr>
                <w:bCs/>
              </w:rPr>
              <w:t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года № 1726-р и плана мероприятий по ее реализации, утвержденным Распоряжением Прав</w:t>
            </w:r>
            <w:r>
              <w:rPr>
                <w:bCs/>
              </w:rPr>
              <w:t>ительства РФ от 24 апреля 2015 года № 729-р,  в целях реализации муниципальной программы «Развитие образования в Кожевниковском районе на 2016 – 2020 годы», Приказом отдела образования Администрации Кожевниковского района от 01.12. 2016 года № 589-О  утвер</w:t>
            </w:r>
            <w:r>
              <w:rPr>
                <w:bCs/>
              </w:rPr>
              <w:t xml:space="preserve">жден План мероприятий на 2016-2020 годы по развитию дополнительного образования детей в Кожевниковском районе.   </w:t>
            </w:r>
          </w:p>
          <w:p w:rsidR="00A102F0" w:rsidRDefault="006A7B2E">
            <w:pPr>
              <w:keepLines/>
              <w:ind w:firstLine="709"/>
              <w:jc w:val="both"/>
            </w:pPr>
            <w:r>
              <w:t>В 2019 г. было организовано участие делегаций от Кожевниковского района в мероприятиях регионального, межмуниципального, муниципального уровня</w:t>
            </w:r>
            <w:r>
              <w:t>х.</w:t>
            </w:r>
          </w:p>
          <w:p w:rsidR="00A102F0" w:rsidRDefault="00A102F0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ind w:firstLine="397"/>
              <w:rPr>
                <w:sz w:val="22"/>
              </w:rPr>
            </w:pPr>
            <w:r>
              <w:rPr>
                <w:sz w:val="22"/>
              </w:rPr>
              <w:t>Всего детей в возрасте от 5 до 18 лет в Кожевниковском районе</w:t>
            </w:r>
            <w:r>
              <w:rPr>
                <w:color w:val="FF6600"/>
                <w:sz w:val="22"/>
              </w:rPr>
              <w:t xml:space="preserve"> </w:t>
            </w:r>
            <w:r>
              <w:rPr>
                <w:sz w:val="22"/>
              </w:rPr>
              <w:t>3692 чел</w:t>
            </w:r>
            <w:r>
              <w:rPr>
                <w:color w:val="FF6600"/>
                <w:sz w:val="22"/>
              </w:rPr>
              <w:t xml:space="preserve">. </w:t>
            </w:r>
            <w:r>
              <w:rPr>
                <w:sz w:val="22"/>
              </w:rPr>
              <w:t>В системе образования Кожевниковского района  две организации дополнительного образования   (МКОУДОДДТ, МКОУДО ДЮСШ). Программы дополнительного образования реализуются во всех  общ</w:t>
            </w:r>
            <w:r>
              <w:rPr>
                <w:sz w:val="22"/>
              </w:rPr>
              <w:t>еобразовательных  организациях района.</w:t>
            </w:r>
          </w:p>
          <w:p w:rsidR="00A102F0" w:rsidRDefault="006A7B2E">
            <w:pPr>
              <w:keepLines/>
              <w:rPr>
                <w:color w:val="FF6600"/>
                <w:highlight w:val="yellow"/>
              </w:rPr>
            </w:pPr>
            <w:r>
              <w:rPr>
                <w:sz w:val="22"/>
              </w:rPr>
              <w:t>В 2019 г. по дополнительным общеобразовательным программам занимаются 2808 детей (76 %</w:t>
            </w:r>
            <w:r>
              <w:rPr>
                <w:color w:val="FF6600"/>
                <w:sz w:val="22"/>
              </w:rPr>
              <w:t xml:space="preserve"> </w:t>
            </w:r>
            <w:r>
              <w:rPr>
                <w:sz w:val="22"/>
              </w:rPr>
              <w:t>от общего количества детей в возрасте от 5 до 18 лет)</w:t>
            </w:r>
          </w:p>
          <w:p w:rsidR="00A102F0" w:rsidRDefault="00A102F0"/>
        </w:tc>
      </w:tr>
      <w:tr w:rsidR="00A102F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shd w:val="clear" w:color="auto" w:fill="FFFFFF"/>
              <w:jc w:val="center"/>
              <w:rPr>
                <w:szCs w:val="20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Подпункт в) пункт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numPr>
                <w:ilvl w:val="1"/>
                <w:numId w:val="1"/>
              </w:numPr>
              <w:ind w:left="0"/>
              <w:jc w:val="both"/>
            </w:pPr>
            <w:r>
              <w:t xml:space="preserve">2020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shd w:val="clear" w:color="auto" w:fill="FFFFFF"/>
              <w:jc w:val="both"/>
            </w:pPr>
            <w: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Реализовывалась программа «Жильё для российской семьи», в 2016г. 24 семьи улучшили жилищные условия.</w:t>
            </w: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sz w:val="22"/>
                <w:szCs w:val="22"/>
                <w:lang w:eastAsia="en-US"/>
              </w:rPr>
            </w:pPr>
            <w:bookmarkStart w:id="1" w:name="OLE_LINK1"/>
            <w:bookmarkStart w:id="2" w:name="OLE_LINK2"/>
          </w:p>
          <w:p w:rsidR="00A102F0" w:rsidRDefault="006A7B2E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подпрограммы «Ус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тойчивое развитие сельских территорий» Государственной программы Российской Федерации «Развитие сельского хозяйства и регулирования рынков сельскохозяйственной продукции, сырья и продовольствия на 2013- 2020 годы</w:t>
            </w:r>
            <w:bookmarkEnd w:id="1"/>
            <w:bookmarkEnd w:id="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102F0" w:rsidRDefault="006A7B2E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Реализуется 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</w:pPr>
            <w:r>
              <w:t>В 2017 г. программа приостановлена</w:t>
            </w:r>
          </w:p>
          <w:p w:rsidR="00A102F0" w:rsidRDefault="00A102F0">
            <w:pPr>
              <w:keepLines/>
            </w:pPr>
          </w:p>
          <w:p w:rsidR="00A102F0" w:rsidRDefault="00A102F0">
            <w:pPr>
              <w:keepLines/>
            </w:pPr>
          </w:p>
          <w:p w:rsidR="00A102F0" w:rsidRDefault="00A102F0">
            <w:pPr>
              <w:keepLines/>
            </w:pPr>
          </w:p>
          <w:p w:rsidR="00A102F0" w:rsidRDefault="00A102F0">
            <w:pPr>
              <w:keepLines/>
            </w:pPr>
          </w:p>
          <w:p w:rsidR="00A102F0" w:rsidRDefault="006A7B2E">
            <w:pPr>
              <w:keepLines/>
            </w:pPr>
            <w:r>
              <w:t>Реализуется программа «Развитие сельского хозяйства и регулирования рынков сельскохозяйственной продукции, сырья и прод</w:t>
            </w:r>
            <w:r>
              <w:t>овольствия на 2013- 2020 годы».</w:t>
            </w:r>
          </w:p>
          <w:p w:rsidR="00A102F0" w:rsidRDefault="00A102F0">
            <w:pPr>
              <w:keepLines/>
            </w:pPr>
          </w:p>
          <w:p w:rsidR="00A102F0" w:rsidRDefault="006A7B2E">
            <w:pPr>
              <w:keepLines/>
            </w:pPr>
            <w:r>
              <w:t>За период с 2016г. по 2019г. включительно улучшили жилищные условия 56 семей, в том числе:</w:t>
            </w:r>
          </w:p>
          <w:p w:rsidR="00A102F0" w:rsidRDefault="006A7B2E">
            <w:pPr>
              <w:keepLines/>
            </w:pPr>
            <w:r>
              <w:t>2016г.-  9 семей.</w:t>
            </w:r>
          </w:p>
          <w:p w:rsidR="00A102F0" w:rsidRDefault="006A7B2E">
            <w:pPr>
              <w:keepLines/>
            </w:pPr>
            <w:r>
              <w:t>2017г.- 11 семей.</w:t>
            </w:r>
          </w:p>
          <w:p w:rsidR="00A102F0" w:rsidRDefault="006A7B2E">
            <w:pPr>
              <w:keepLines/>
            </w:pPr>
            <w:r>
              <w:t>2018 г. – 9 семей.</w:t>
            </w:r>
          </w:p>
          <w:p w:rsidR="00A102F0" w:rsidRDefault="006A7B2E">
            <w:pPr>
              <w:keepLines/>
            </w:pPr>
            <w:r>
              <w:t>2019 г. – 27 семей.</w:t>
            </w:r>
          </w:p>
          <w:p w:rsidR="00A102F0" w:rsidRDefault="006A7B2E">
            <w:pPr>
              <w:keepLines/>
            </w:pPr>
            <w:r>
              <w:t>За период с 2014г. до 2019г. включительно   стали участни</w:t>
            </w:r>
            <w:r>
              <w:t xml:space="preserve">ками  программы 121 семья, в том числе молодые семьи и молодые специалисты - (процент исполнения за  пять лет составил 46,3 %).  </w:t>
            </w:r>
          </w:p>
          <w:p w:rsidR="00A102F0" w:rsidRDefault="006A7B2E">
            <w:pPr>
              <w:keepLines/>
            </w:pPr>
            <w:r>
              <w:t>В 2020 году планируется выдать 14 жилищных сертификатов  на улучшение жилищных условий граждан, в том числе молодых семей и мо</w:t>
            </w:r>
            <w:r>
              <w:t xml:space="preserve">лодых специалистов, процент исполнения составит 100 %).  </w:t>
            </w:r>
          </w:p>
          <w:p w:rsidR="00A102F0" w:rsidRDefault="00A102F0">
            <w:pPr>
              <w:keepLines/>
            </w:pPr>
          </w:p>
          <w:p w:rsidR="00A102F0" w:rsidRDefault="006A7B2E">
            <w:pPr>
              <w:keepLines/>
            </w:pPr>
            <w:r>
              <w:t>За период с 2016г. по 2019г. включительно улучшили жилищные условия молодые семьи в количестве 9 семей, в том числе:</w:t>
            </w:r>
          </w:p>
          <w:p w:rsidR="00A102F0" w:rsidRDefault="006A7B2E">
            <w:pPr>
              <w:keepLines/>
            </w:pPr>
            <w:r>
              <w:t>2016г. - 1 семья</w:t>
            </w:r>
          </w:p>
          <w:p w:rsidR="00A102F0" w:rsidRDefault="006A7B2E">
            <w:pPr>
              <w:keepLines/>
            </w:pPr>
            <w:r>
              <w:t>2017г.- 4 семьи</w:t>
            </w:r>
          </w:p>
          <w:p w:rsidR="00A102F0" w:rsidRDefault="006A7B2E">
            <w:pPr>
              <w:keepLines/>
            </w:pPr>
            <w:r>
              <w:t>2018 г. – 2 семьи.</w:t>
            </w:r>
          </w:p>
          <w:p w:rsidR="00A102F0" w:rsidRDefault="006A7B2E">
            <w:pPr>
              <w:keepLines/>
            </w:pPr>
            <w:r>
              <w:t>2019 г. – 2 семьи.</w:t>
            </w:r>
          </w:p>
          <w:p w:rsidR="00A102F0" w:rsidRDefault="006A7B2E">
            <w:pPr>
              <w:keepLines/>
            </w:pPr>
            <w:r>
              <w:t xml:space="preserve">За период с 2016г. до 2019г. включительно   стали участниками  программы 20 молодых семей - (% исполнения за три года составил 45%).  </w:t>
            </w:r>
          </w:p>
          <w:p w:rsidR="00A102F0" w:rsidRDefault="006A7B2E">
            <w:pPr>
              <w:keepLines/>
            </w:pPr>
            <w:r>
              <w:t>В 2020 году будет выдано 3 сертификата на улучшение жилищных условий молодых семей Кожевниковского района.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Абзац 3 под</w:t>
            </w:r>
            <w:r>
              <w:t>пункта в)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shd w:val="clear" w:color="auto" w:fill="FFFFFF"/>
              <w:jc w:val="both"/>
            </w:pPr>
            <w: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поставщиков жилищно-коммунальных услуг проводится на основании конкурса.</w:t>
            </w:r>
          </w:p>
          <w:p w:rsidR="00A102F0" w:rsidRDefault="006A7B2E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г.г. на территории района  реализуется Губернаторская программа «Чистая вода»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both"/>
              <w:rPr>
                <w:sz w:val="24"/>
                <w:szCs w:val="24"/>
              </w:rPr>
            </w:pPr>
            <w:r>
              <w:t>Принятые меры по улучшению качества предоставления услуг ЖКХ:</w:t>
            </w:r>
            <w:r>
              <w:rPr>
                <w:sz w:val="24"/>
                <w:szCs w:val="24"/>
              </w:rPr>
              <w:t xml:space="preserve"> </w:t>
            </w:r>
          </w:p>
          <w:p w:rsidR="00A102F0" w:rsidRDefault="006A7B2E">
            <w:pPr>
              <w:jc w:val="both"/>
            </w:pPr>
            <w:r>
              <w:t xml:space="preserve">         </w:t>
            </w:r>
            <w:r>
              <w:t xml:space="preserve">    </w:t>
            </w:r>
            <w:r>
              <w:t xml:space="preserve">    -  в 2019 году  установлены  2-е  </w:t>
            </w:r>
            <w:r>
              <w:t>локально-очистные станций водоочистки в с.Елгай, с.Новосергеевка;</w:t>
            </w:r>
          </w:p>
          <w:p w:rsidR="00A102F0" w:rsidRDefault="006A7B2E">
            <w:pPr>
              <w:jc w:val="both"/>
            </w:pPr>
            <w:r>
              <w:t>-  проведены реконструкция  водопровода в с.Уртам протяженостью 10 км;</w:t>
            </w:r>
          </w:p>
          <w:p w:rsidR="00A102F0" w:rsidRDefault="006A7B2E">
            <w:pPr>
              <w:pStyle w:val="a3"/>
              <w:numPr>
                <w:ilvl w:val="0"/>
                <w:numId w:val="5"/>
              </w:numPr>
              <w:ind w:left="0" w:firstLine="349"/>
              <w:jc w:val="both"/>
            </w:pPr>
            <w:r>
              <w:t>проведена газификация северной части с.Кожевниково. ;</w:t>
            </w:r>
          </w:p>
          <w:p w:rsidR="00A102F0" w:rsidRDefault="006A7B2E">
            <w:pPr>
              <w:pStyle w:val="a3"/>
              <w:numPr>
                <w:ilvl w:val="0"/>
                <w:numId w:val="3"/>
              </w:numPr>
              <w:ind w:left="0" w:firstLine="349"/>
              <w:jc w:val="both"/>
            </w:pPr>
            <w:r>
              <w:t>проведены капитальный ремон</w:t>
            </w:r>
            <w:r>
              <w:t>т двух участков тепловых сетей в с.Кожевниково, трех участков  водопроводных сетей, капитальный ремонт одной котельной.</w:t>
            </w:r>
          </w:p>
        </w:tc>
      </w:tr>
      <w:tr w:rsidR="00A102F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Указ Президента Российской Федерации от 07.05. 2012 г. N 601 </w:t>
            </w:r>
          </w:p>
          <w:p w:rsidR="00A102F0" w:rsidRDefault="006A7B2E">
            <w:pPr>
              <w:keepLines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Подпункт д)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both"/>
            </w:pPr>
            <w: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both"/>
              <w:rPr>
                <w:highlight w:val="yellow"/>
              </w:rPr>
            </w:pPr>
            <w:r>
              <w:rPr>
                <w:szCs w:val="20"/>
              </w:rPr>
              <w:t>В 2016 году разработан Порядок проведения оценки регулирующего воздействия проектов нормативно-пр</w:t>
            </w:r>
            <w:r>
              <w:rPr>
                <w:szCs w:val="20"/>
              </w:rPr>
              <w:t>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 (Постановления Администрации Кожевниковско</w:t>
            </w:r>
            <w:r>
              <w:rPr>
                <w:szCs w:val="20"/>
              </w:rPr>
              <w:t>го района № 711 от 29.12.2016 г.)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rPr>
                <w:highlight w:val="yellow"/>
              </w:rPr>
            </w:pPr>
            <w:r>
              <w:rPr>
                <w:szCs w:val="20"/>
              </w:rPr>
              <w:t>Все необходимые процедуры проводятся.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Абзац 3 подпункта е)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both"/>
            </w:pPr>
            <w: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01.01.2020 года на базе </w:t>
            </w:r>
            <w:r>
              <w:rPr>
                <w:color w:val="222222"/>
                <w:szCs w:val="20"/>
                <w:shd w:val="clear" w:color="auto" w:fill="FFFFFF"/>
              </w:rPr>
              <w:t>ОГКУ "МФЦ Ко</w:t>
            </w:r>
            <w:r>
              <w:rPr>
                <w:color w:val="222222"/>
                <w:szCs w:val="20"/>
                <w:shd w:val="clear" w:color="auto" w:fill="FFFFFF"/>
              </w:rPr>
              <w:t>жевниковского МР ТО"</w:t>
            </w:r>
            <w:r>
              <w:rPr>
                <w:szCs w:val="20"/>
              </w:rPr>
              <w:t xml:space="preserve"> предоставляется 179 услуг (из них 179 услуг (100%) по принципу «одного окна»), из которых:</w:t>
            </w:r>
          </w:p>
          <w:p w:rsidR="00A102F0" w:rsidRDefault="006A7B2E">
            <w:pPr>
              <w:jc w:val="both"/>
            </w:pPr>
            <w:r>
              <w:rPr>
                <w:szCs w:val="20"/>
              </w:rPr>
              <w:t>- 80 государственных услуг федеральных органов исполнительной власти и государственных внебюджетных фондов (100% - по принципу «одного окна»);</w:t>
            </w:r>
          </w:p>
          <w:p w:rsidR="00A102F0" w:rsidRDefault="006A7B2E">
            <w:pPr>
              <w:jc w:val="both"/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 xml:space="preserve"> 79 государственных услуг исполнительных органов государственной власти Томской области (100% - по принципу «одного окна»);</w:t>
            </w:r>
          </w:p>
          <w:p w:rsidR="00A102F0" w:rsidRDefault="006A7B2E">
            <w:pPr>
              <w:jc w:val="both"/>
            </w:pPr>
            <w:r>
              <w:rPr>
                <w:szCs w:val="20"/>
              </w:rPr>
              <w:lastRenderedPageBreak/>
              <w:t>- 20 муниципальных услуг (из них 20 услуг (100%) по принципу «одного окна»).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A102F0">
            <w:pPr>
              <w:jc w:val="both"/>
              <w:rPr>
                <w:szCs w:val="20"/>
              </w:rPr>
            </w:pPr>
          </w:p>
          <w:p w:rsidR="00A102F0" w:rsidRDefault="00A102F0">
            <w:pPr>
              <w:jc w:val="both"/>
              <w:rPr>
                <w:szCs w:val="20"/>
              </w:rPr>
            </w:pPr>
          </w:p>
          <w:p w:rsidR="00A102F0" w:rsidRDefault="00A102F0">
            <w:pPr>
              <w:jc w:val="both"/>
              <w:rPr>
                <w:szCs w:val="20"/>
              </w:rPr>
            </w:pPr>
          </w:p>
          <w:p w:rsidR="00A102F0" w:rsidRDefault="00A102F0">
            <w:pPr>
              <w:jc w:val="both"/>
              <w:rPr>
                <w:szCs w:val="20"/>
              </w:rPr>
            </w:pPr>
          </w:p>
          <w:p w:rsidR="00A102F0" w:rsidRDefault="006A7B2E">
            <w:pPr>
              <w:jc w:val="both"/>
            </w:pPr>
            <w:r>
              <w:t>100%</w:t>
            </w:r>
          </w:p>
          <w:p w:rsidR="00A102F0" w:rsidRDefault="00A102F0">
            <w:pPr>
              <w:jc w:val="both"/>
            </w:pPr>
          </w:p>
          <w:p w:rsidR="00A102F0" w:rsidRDefault="00A102F0">
            <w:pPr>
              <w:jc w:val="both"/>
            </w:pPr>
          </w:p>
          <w:p w:rsidR="00A102F0" w:rsidRDefault="006A7B2E">
            <w:pPr>
              <w:jc w:val="both"/>
            </w:pPr>
            <w:r>
              <w:t>100%</w:t>
            </w:r>
          </w:p>
          <w:p w:rsidR="00A102F0" w:rsidRDefault="00A102F0">
            <w:pPr>
              <w:jc w:val="both"/>
            </w:pPr>
          </w:p>
          <w:p w:rsidR="00A102F0" w:rsidRDefault="00A102F0">
            <w:pPr>
              <w:jc w:val="both"/>
            </w:pPr>
          </w:p>
          <w:p w:rsidR="00A102F0" w:rsidRDefault="00A102F0">
            <w:pPr>
              <w:jc w:val="both"/>
            </w:pPr>
          </w:p>
          <w:p w:rsidR="00A102F0" w:rsidRDefault="006A7B2E">
            <w:pPr>
              <w:jc w:val="both"/>
              <w:rPr>
                <w:szCs w:val="20"/>
                <w:highlight w:val="yellow"/>
              </w:rPr>
            </w:pPr>
            <w:r>
              <w:t>100%</w:t>
            </w:r>
          </w:p>
        </w:tc>
      </w:tr>
      <w:tr w:rsidR="00A102F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07.05. 2012 г. N 602</w:t>
            </w:r>
          </w:p>
          <w:p w:rsidR="00A102F0" w:rsidRDefault="006A7B2E">
            <w:pPr>
              <w:keepLines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«Об обеспечении межнационального согласия»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center"/>
            </w:pPr>
            <w:r>
              <w:t>Абзац 2 подпункта б)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center"/>
            </w:pPr>
            <w: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</w:t>
            </w:r>
            <w:r>
              <w:t>о мониторинга состояния межнациональных отношений, а так 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jc w:val="both"/>
            </w:pPr>
            <w:r>
              <w:t>На территор</w:t>
            </w:r>
            <w:r>
              <w:t xml:space="preserve">ии МО «Кожевниковский район» проводятся плановые мероприятия (отдел образования, отдел по культуре, спорту, молодежной политике и связям с общественностью) направленные на формирование толерантности и предупреждения национальных конфликтов.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jc w:val="both"/>
              <w:rPr>
                <w:highlight w:val="yellow"/>
              </w:rPr>
            </w:pPr>
            <w:r>
              <w:t xml:space="preserve">Информация в </w:t>
            </w:r>
            <w:r>
              <w:t>Администрацию Кожевниковского района о межнациональных конфликта на территории муниципального образования Кожевниковский район не поступала.</w:t>
            </w:r>
          </w:p>
        </w:tc>
      </w:tr>
      <w:tr w:rsidR="00A102F0">
        <w:trPr>
          <w:trHeight w:val="59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07.05. 2012 г. N 606</w:t>
            </w:r>
          </w:p>
          <w:p w:rsidR="00A102F0" w:rsidRDefault="006A7B2E">
            <w:pPr>
              <w:keepLines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«О мерах по реализации демографической политики Российской Федерации»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Подпункт а) пункта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shd w:val="clear" w:color="auto" w:fill="FFFFFF"/>
              <w:jc w:val="both"/>
            </w:pPr>
            <w:r>
              <w:t>Создание условий для совмещения женщинами обязанностей по воспитанию детей с трудовой занятостью, а также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ОГКУ «Цент</w:t>
            </w:r>
            <w:r>
              <w:rPr>
                <w:color w:val="000000"/>
              </w:rPr>
              <w:t>р социальной занятости населения Кожевниковского района» реализуется программа «Организация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лет», утвержд</w:t>
            </w:r>
            <w:r>
              <w:rPr>
                <w:color w:val="000000"/>
              </w:rPr>
              <w:t>енная Приказом Департамента труда и занятости Томской области от 21.02.2014 №29.</w:t>
            </w:r>
          </w:p>
          <w:p w:rsidR="00A102F0" w:rsidRDefault="006A7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2019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</w:t>
            </w:r>
            <w:r>
              <w:rPr>
                <w:color w:val="000000"/>
              </w:rPr>
              <w:t xml:space="preserve"> отпуске по уходу за ребенком до достижения им возраста трех лет, прошли 3 человека, контрольные показатели выполнены</w:t>
            </w:r>
          </w:p>
          <w:p w:rsidR="00A102F0" w:rsidRDefault="00A102F0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A102F0">
            <w:pPr>
              <w:keepLines/>
              <w:rPr>
                <w:highlight w:val="yellow"/>
              </w:rPr>
            </w:pPr>
          </w:p>
          <w:p w:rsidR="00A102F0" w:rsidRDefault="00A102F0">
            <w:pPr>
              <w:keepLines/>
              <w:rPr>
                <w:highlight w:val="yellow"/>
              </w:rPr>
            </w:pPr>
          </w:p>
          <w:p w:rsidR="00A102F0" w:rsidRDefault="00A102F0">
            <w:pPr>
              <w:keepLines/>
              <w:rPr>
                <w:highlight w:val="yellow"/>
              </w:rPr>
            </w:pPr>
          </w:p>
          <w:p w:rsidR="00A102F0" w:rsidRDefault="00A102F0">
            <w:pPr>
              <w:keepLines/>
              <w:rPr>
                <w:highlight w:val="yellow"/>
              </w:rPr>
            </w:pPr>
          </w:p>
          <w:p w:rsidR="00A102F0" w:rsidRDefault="00A102F0">
            <w:pPr>
              <w:keepLines/>
              <w:rPr>
                <w:highlight w:val="yellow"/>
              </w:rPr>
            </w:pPr>
          </w:p>
          <w:p w:rsidR="00A102F0" w:rsidRDefault="006A7B2E">
            <w:pPr>
              <w:keepLines/>
              <w:rPr>
                <w:highlight w:val="yellow"/>
              </w:rPr>
            </w:pPr>
            <w:r>
              <w:t>Целевой показатель исполнен на 100%, на 31.12.2019г. обучено 3 чел.</w:t>
            </w:r>
          </w:p>
        </w:tc>
      </w:tr>
      <w:tr w:rsidR="00A102F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01.06. 2012 г. N 761</w:t>
            </w:r>
          </w:p>
          <w:p w:rsidR="00A102F0" w:rsidRDefault="006A7B2E">
            <w:pPr>
              <w:keepLines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«О Национальной стратегии действий в интересах детей на 2012-2017 годы»</w:t>
            </w:r>
          </w:p>
        </w:tc>
      </w:tr>
      <w:tr w:rsidR="00A102F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F0" w:rsidRDefault="006A7B2E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center"/>
            </w:pPr>
            <w: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jc w:val="both"/>
            </w:pPr>
            <w: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jc w:val="both"/>
            </w:pPr>
            <w:r>
              <w:rPr>
                <w:sz w:val="22"/>
              </w:rPr>
              <w:t xml:space="preserve">В 2019 году в рамках </w:t>
            </w:r>
            <w:r>
              <w:rPr>
                <w:sz w:val="22"/>
              </w:rPr>
              <w:t>реализации Плана мероприятий («дорожной карты») «Изменения в сфере образования в Томской области» в части повышения заработной платы работников –  9 102,3 тыс. руб.</w:t>
            </w:r>
          </w:p>
          <w:p w:rsidR="00A102F0" w:rsidRDefault="00A102F0">
            <w:pPr>
              <w:jc w:val="both"/>
            </w:pPr>
          </w:p>
          <w:p w:rsidR="00A102F0" w:rsidRDefault="00A102F0">
            <w:pPr>
              <w:jc w:val="both"/>
            </w:pPr>
          </w:p>
          <w:p w:rsidR="00A102F0" w:rsidRDefault="00A102F0">
            <w:pPr>
              <w:jc w:val="both"/>
            </w:pPr>
          </w:p>
          <w:p w:rsidR="00A102F0" w:rsidRDefault="006A7B2E">
            <w:pPr>
              <w:widowControl w:val="0"/>
              <w:jc w:val="both"/>
            </w:pPr>
            <w:r>
              <w:t>В части повышения средней заработной платы педагогических работников организаций дополни</w:t>
            </w:r>
            <w:r>
              <w:t>тельного образования детей, в том числе педагогических работников в системе учреждений культуры между Департаментом по культуре и туризму Томской области и Администрацией муниципального образования Кожевниковский район заключено Соглашение  от 19.04.2019 №</w:t>
            </w:r>
            <w:r>
              <w:t xml:space="preserve"> 092/19/1 о предоставлении в 2019 году бюджету муниципального образования Кожевниковский район субсидии  на достижение целевых показателей по плану мероприятий («дорожной карте») «Изменения в сфере образования в Кожевниковском районе», в части </w:t>
            </w:r>
            <w:r>
              <w:lastRenderedPageBreak/>
              <w:t>повышения за</w:t>
            </w:r>
            <w:r>
              <w:t xml:space="preserve">работной платы педагогическим работникам организаций дополнительного образования детей. </w:t>
            </w:r>
          </w:p>
          <w:p w:rsidR="00A102F0" w:rsidRDefault="006A7B2E">
            <w:pPr>
              <w:jc w:val="both"/>
              <w:rPr>
                <w:szCs w:val="20"/>
              </w:rPr>
            </w:pPr>
            <w:r>
              <w:t>В рамках данного Соглашения Администрация МО Кожевниковский район обязуется обеспечить повышение средней заработной платы педагогических работников за 2019 год согласн</w:t>
            </w:r>
            <w:r>
              <w:t xml:space="preserve">о </w:t>
            </w:r>
            <w:r>
              <w:rPr>
                <w:color w:val="000000"/>
                <w:spacing w:val="1"/>
              </w:rPr>
              <w:t>финансово-экономическому обоснованию к плану мероприятий</w:t>
            </w:r>
            <w:r>
              <w:t xml:space="preserve"> «дорожная карта» «Изменение в сфере образования в Кожевниковском районе» (</w:t>
            </w:r>
            <w:r>
              <w:rPr>
                <w:color w:val="000000"/>
                <w:spacing w:val="1"/>
              </w:rPr>
              <w:t>Форма 1) согласно Приложению № 5 к Соглашению.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F0" w:rsidRDefault="006A7B2E">
            <w:pPr>
              <w:keepLines/>
              <w:rPr>
                <w:i/>
                <w:szCs w:val="20"/>
              </w:rPr>
            </w:pPr>
            <w:r>
              <w:rPr>
                <w:i/>
                <w:szCs w:val="20"/>
              </w:rPr>
              <w:lastRenderedPageBreak/>
              <w:t>По образовательным организациям отдела образования Администрации Кожевниковс</w:t>
            </w:r>
            <w:r>
              <w:rPr>
                <w:i/>
                <w:szCs w:val="20"/>
              </w:rPr>
              <w:t>кого района</w:t>
            </w:r>
          </w:p>
          <w:p w:rsidR="00A102F0" w:rsidRDefault="006A7B2E">
            <w:pPr>
              <w:keepLines/>
              <w:jc w:val="both"/>
              <w:rPr>
                <w:sz w:val="22"/>
              </w:rPr>
            </w:pPr>
            <w:r>
              <w:t xml:space="preserve">Средняя заработная плата педагогических работников дополнительного образования </w:t>
            </w:r>
            <w:r>
              <w:rPr>
                <w:sz w:val="22"/>
              </w:rPr>
              <w:t xml:space="preserve"> за  2019 г. составила 29 174 руб. (100 % к прогнозируемому уровню средней заработной платы за   2019 г.). </w:t>
            </w:r>
          </w:p>
          <w:p w:rsidR="00A102F0" w:rsidRDefault="00A102F0">
            <w:pPr>
              <w:keepLines/>
              <w:rPr>
                <w:highlight w:val="cyan"/>
              </w:rPr>
            </w:pPr>
          </w:p>
          <w:p w:rsidR="00A102F0" w:rsidRDefault="00A102F0">
            <w:pPr>
              <w:keepLines/>
              <w:jc w:val="both"/>
            </w:pPr>
          </w:p>
          <w:p w:rsidR="00A102F0" w:rsidRDefault="00A102F0">
            <w:pPr>
              <w:keepLines/>
              <w:rPr>
                <w:i/>
                <w:szCs w:val="20"/>
              </w:rPr>
            </w:pPr>
          </w:p>
          <w:p w:rsidR="00A102F0" w:rsidRDefault="006A7B2E">
            <w:pPr>
              <w:keepLines/>
              <w:rPr>
                <w:i/>
                <w:szCs w:val="20"/>
              </w:rPr>
            </w:pPr>
            <w:r>
              <w:rPr>
                <w:i/>
                <w:szCs w:val="20"/>
              </w:rPr>
              <w:t>По образовательным организациям отдела по культуре, спорту, молодежной политике и связям с общественностью Администрации Кожевниковского района</w:t>
            </w:r>
          </w:p>
          <w:p w:rsidR="00A102F0" w:rsidRDefault="006A7B2E">
            <w:pPr>
              <w:keepLines/>
            </w:pPr>
            <w:r>
              <w:t>По итогам  2019 года сложилась следующая динамика средней заработной платы педагогических работников:</w:t>
            </w:r>
          </w:p>
          <w:tbl>
            <w:tblPr>
              <w:tblW w:w="4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4"/>
              <w:gridCol w:w="1393"/>
              <w:gridCol w:w="1311"/>
              <w:gridCol w:w="719"/>
            </w:tblGrid>
            <w:tr w:rsidR="00A102F0">
              <w:tc>
                <w:tcPr>
                  <w:tcW w:w="1030" w:type="dxa"/>
                  <w:shd w:val="clear" w:color="auto" w:fill="auto"/>
                </w:tcPr>
                <w:p w:rsidR="00A102F0" w:rsidRDefault="00A102F0">
                  <w:pPr>
                    <w:keepLines/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В соответ</w:t>
                  </w:r>
                  <w:r>
                    <w:t>ствии с Соглашением на 2019 год,  рублей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Фактическая заработная плата за 1 полугодие  2019 года, рублей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Про</w:t>
                  </w:r>
                </w:p>
                <w:p w:rsidR="00A102F0" w:rsidRDefault="006A7B2E">
                  <w:pPr>
                    <w:keepLines/>
                  </w:pPr>
                  <w:r>
                    <w:t>цент испол</w:t>
                  </w:r>
                </w:p>
                <w:p w:rsidR="00A102F0" w:rsidRDefault="006A7B2E">
                  <w:pPr>
                    <w:keepLines/>
                  </w:pPr>
                  <w:r>
                    <w:t>нения</w:t>
                  </w:r>
                </w:p>
              </w:tc>
            </w:tr>
            <w:tr w:rsidR="00A102F0">
              <w:tc>
                <w:tcPr>
                  <w:tcW w:w="1030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МКУДО «Кожевниковская ДШИ»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36 603,0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36 961,50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102F0" w:rsidRDefault="006A7B2E">
                  <w:pPr>
                    <w:keepLines/>
                  </w:pPr>
                  <w:r>
                    <w:t>101%</w:t>
                  </w:r>
                </w:p>
              </w:tc>
            </w:tr>
          </w:tbl>
          <w:p w:rsidR="00A102F0" w:rsidRDefault="00A102F0">
            <w:pPr>
              <w:keepLines/>
              <w:rPr>
                <w:highlight w:val="yellow"/>
              </w:rPr>
            </w:pPr>
          </w:p>
        </w:tc>
      </w:tr>
    </w:tbl>
    <w:p w:rsidR="00A102F0" w:rsidRDefault="00A102F0">
      <w:pPr>
        <w:jc w:val="both"/>
        <w:outlineLvl w:val="0"/>
      </w:pPr>
    </w:p>
    <w:p w:rsidR="00A102F0" w:rsidRDefault="006A7B2E">
      <w:pPr>
        <w:jc w:val="both"/>
        <w:outlineLvl w:val="0"/>
      </w:pPr>
      <w:r>
        <w:t xml:space="preserve">Управляющий делами Администрации Кожевниковского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И.А.Бирюкова</w:t>
      </w:r>
    </w:p>
    <w:p w:rsidR="00A102F0" w:rsidRDefault="006A7B2E">
      <w:pPr>
        <w:jc w:val="both"/>
        <w:outlineLvl w:val="0"/>
      </w:pPr>
      <w:r>
        <w:t>10.01.2020г.</w:t>
      </w:r>
    </w:p>
    <w:p w:rsidR="00A102F0" w:rsidRDefault="00A102F0"/>
    <w:p w:rsidR="00A102F0" w:rsidRDefault="00A102F0"/>
    <w:p w:rsidR="00A102F0" w:rsidRDefault="00A102F0"/>
    <w:sectPr w:rsidR="00A102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2E" w:rsidRDefault="006A7B2E">
      <w:r>
        <w:separator/>
      </w:r>
    </w:p>
  </w:endnote>
  <w:endnote w:type="continuationSeparator" w:id="0">
    <w:p w:rsidR="006A7B2E" w:rsidRDefault="006A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2E" w:rsidRDefault="006A7B2E">
      <w:r>
        <w:separator/>
      </w:r>
    </w:p>
  </w:footnote>
  <w:footnote w:type="continuationSeparator" w:id="0">
    <w:p w:rsidR="006A7B2E" w:rsidRDefault="006A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026"/>
    <w:multiLevelType w:val="hybridMultilevel"/>
    <w:tmpl w:val="969663B6"/>
    <w:lvl w:ilvl="0" w:tplc="D9D09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554A2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3FE45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C587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C7E4C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906C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DD6B8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F4A7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E1CB2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1A81240"/>
    <w:multiLevelType w:val="multilevel"/>
    <w:tmpl w:val="65642382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1E2B05E4"/>
    <w:multiLevelType w:val="hybridMultilevel"/>
    <w:tmpl w:val="7610B0B6"/>
    <w:lvl w:ilvl="0" w:tplc="BC4403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19EAC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3C4E7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18275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E86AD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3E6AF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402A2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AFA3C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AA71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32D01F4"/>
    <w:multiLevelType w:val="hybridMultilevel"/>
    <w:tmpl w:val="45A66780"/>
    <w:lvl w:ilvl="0" w:tplc="0A1646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A601F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77EE3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37E9D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F5000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2DA1E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46B9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59C79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E3E86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3D44CD0"/>
    <w:multiLevelType w:val="hybridMultilevel"/>
    <w:tmpl w:val="3842A0AC"/>
    <w:lvl w:ilvl="0" w:tplc="6A0A6A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82688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3CCE9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5A73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3AE6A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29C51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09C21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BC6F9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F4812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F0"/>
    <w:rsid w:val="0030194B"/>
    <w:rsid w:val="006A7B2E"/>
    <w:rsid w:val="00A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8B51-06C7-4E92-9BFC-1A0FBFD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25">
    <w:name w:val="Основной текст (2)_"/>
    <w:link w:val="26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pPr>
      <w:widowControl w:val="0"/>
      <w:shd w:val="clear" w:color="auto" w:fill="FFFFFF"/>
      <w:spacing w:line="259" w:lineRule="exact"/>
      <w:jc w:val="center"/>
    </w:pPr>
    <w:rPr>
      <w:rFonts w:eastAsia="Calibri"/>
      <w:b/>
      <w:bCs/>
      <w:sz w:val="23"/>
      <w:szCs w:val="23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2019-07-12T05:26:00Z</dcterms:created>
  <dcterms:modified xsi:type="dcterms:W3CDTF">2020-04-21T09:16:00Z</dcterms:modified>
</cp:coreProperties>
</file>