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67"/>
        <w:jc w:val="center"/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работы</w:t>
      </w:r>
      <w:r>
        <w:rPr>
          <w:sz w:val="24"/>
          <w:szCs w:val="24"/>
        </w:rPr>
      </w:r>
      <w:r/>
    </w:p>
    <w:p>
      <w:pPr>
        <w:pStyle w:val="3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2020</w:t>
      </w:r>
      <w:r>
        <w:rPr>
          <w:b/>
          <w:bCs/>
          <w:sz w:val="24"/>
          <w:szCs w:val="24"/>
        </w:rPr>
        <w:t xml:space="preserve"> год</w:t>
      </w:r>
      <w:r>
        <w:rPr>
          <w:b/>
          <w:sz w:val="24"/>
          <w:szCs w:val="24"/>
        </w:rPr>
      </w:r>
      <w:r/>
    </w:p>
    <w:p>
      <w:pPr>
        <w:pStyle w:val="36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86"/>
        <w:gridCol w:w="6969"/>
        <w:gridCol w:w="2549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мероприятия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8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организации работы по своевременному предоставлению сведений о расходах, доходах, об имуществе и обязательствах имущественного характера </w:t>
            </w:r>
            <w:r>
              <w:rPr>
                <w:bCs/>
                <w:sz w:val="24"/>
                <w:szCs w:val="24"/>
              </w:rPr>
              <w:t xml:space="preserve">муниципальными служащими за 201</w:t>
            </w:r>
            <w:r>
              <w:rPr>
                <w:bCs/>
                <w:sz w:val="24"/>
                <w:szCs w:val="24"/>
              </w:rPr>
              <w:t xml:space="preserve">9</w:t>
            </w:r>
            <w:r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при заполнении справок о доходах, об имуществе и обязательствах имущественного характера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о расходах, об имуществе и обязательствах </w:t>
            </w:r>
            <w:r>
              <w:rPr>
                <w:sz w:val="24"/>
                <w:szCs w:val="24"/>
              </w:rPr>
              <w:t xml:space="preserve">имущественного характера за 2019</w:t>
            </w:r>
            <w:r>
              <w:rPr>
                <w:sz w:val="24"/>
                <w:szCs w:val="24"/>
              </w:rPr>
              <w:t xml:space="preserve"> год</w:t>
            </w:r>
            <w:r/>
          </w:p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98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отделом правовой и кадровой работы Администрации Кожевниковского района обязанности по размещению сведений о доходах, о расходах, об имуществе и обязательствах имущественного характера муниципальных служащих Администраци</w:t>
            </w:r>
            <w:r>
              <w:rPr>
                <w:sz w:val="24"/>
                <w:szCs w:val="24"/>
              </w:rPr>
              <w:t xml:space="preserve">и Кожевниковского района за 201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год на официальном сайте органов местного самоуправления Кожевниковского района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129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в 201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году муниципальными</w:t>
            </w:r>
            <w:r>
              <w:rPr>
                <w:sz w:val="24"/>
                <w:szCs w:val="24"/>
              </w:rPr>
              <w:t xml:space="preserve">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6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проведении разъяснительной работы среди </w:t>
            </w:r>
            <w:r>
              <w:rPr>
                <w:bCs/>
                <w:sz w:val="24"/>
                <w:szCs w:val="24"/>
              </w:rPr>
              <w:t xml:space="preserve">муниципальных служащих и работников Администрации Кожевниковского района</w:t>
            </w:r>
            <w:r>
              <w:rPr>
                <w:bCs/>
                <w:sz w:val="24"/>
                <w:szCs w:val="24"/>
              </w:rPr>
              <w:t xml:space="preserve"> по предотвращению конфликта интересов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577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Комиссии </w:t>
            </w:r>
            <w:r>
              <w:rPr>
                <w:sz w:val="24"/>
                <w:szCs w:val="24"/>
              </w:rPr>
              <w:t xml:space="preserve">в 2020</w:t>
            </w:r>
            <w:r>
              <w:rPr>
                <w:sz w:val="24"/>
                <w:szCs w:val="24"/>
              </w:rPr>
              <w:t xml:space="preserve"> году, </w:t>
            </w:r>
            <w:r>
              <w:rPr>
                <w:sz w:val="24"/>
                <w:szCs w:val="24"/>
              </w:rPr>
              <w:t xml:space="preserve">утверждение плана работы на 20</w:t>
            </w: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информаций</w:t>
            </w:r>
            <w:r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нарушении муниципальными служащими</w:t>
            </w:r>
            <w:r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требований к служебному поведению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t xml:space="preserve">необходимости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13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Уведомлений муниципальных служащих</w:t>
            </w:r>
            <w:r>
              <w:rPr>
                <w:sz w:val="24"/>
                <w:szCs w:val="24"/>
              </w:rPr>
              <w:t xml:space="preserve"> о наличи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 xml:space="preserve">заинтересованности, которая </w:t>
            </w:r>
            <w:r>
              <w:rPr>
                <w:sz w:val="24"/>
                <w:szCs w:val="24"/>
              </w:rPr>
              <w:t xml:space="preserve">может привести </w:t>
            </w:r>
            <w:r>
              <w:rPr>
                <w:sz w:val="24"/>
                <w:szCs w:val="24"/>
              </w:rPr>
              <w:t xml:space="preserve">к конфликту интересов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t xml:space="preserve">необходимости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43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367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органов </w:t>
            </w:r>
            <w:r>
              <w:rPr>
                <w:sz w:val="24"/>
                <w:szCs w:val="24"/>
              </w:rPr>
              <w:t xml:space="preserve">мес</w:t>
            </w:r>
            <w:r>
              <w:rPr>
                <w:sz w:val="24"/>
                <w:szCs w:val="24"/>
              </w:rPr>
              <w:t xml:space="preserve">тного самоуправления Кожевниковского </w:t>
            </w:r>
            <w:r>
              <w:rPr>
                <w:sz w:val="24"/>
                <w:szCs w:val="24"/>
              </w:rPr>
              <w:t xml:space="preserve">район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 xml:space="preserve">о результатах работы    Комиссии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>
              <w:rPr>
                <w:sz w:val="24"/>
                <w:szCs w:val="24"/>
              </w:rPr>
            </w:r>
            <w:r/>
          </w:p>
        </w:tc>
      </w:tr>
    </w:tbl>
    <w:sectPr>
      <w:footnotePr/>
      <w:type w:val="continuous"/>
      <w:pgSz w:w="11909" w:h="16834" w:orient="portrait"/>
      <w:pgMar w:top="1255" w:right="852" w:bottom="360" w:left="852" w:header="720" w:footer="720"/>
      <w:cols w:num="1" w:sep="0" w:space="6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7">
    <w:name w:val="Обычный"/>
    <w:next w:val="367"/>
    <w:link w:val="367"/>
    <w:rPr>
      <w:lang w:val="ru-RU" w:bidi="ar-SA" w:eastAsia="ru-RU"/>
    </w:rPr>
    <w:pPr>
      <w:widowControl w:val="off"/>
    </w:pPr>
  </w:style>
  <w:style w:type="character" w:styleId="368">
    <w:name w:val="Основной шрифт абзаца"/>
    <w:next w:val="368"/>
    <w:link w:val="367"/>
    <w:semiHidden/>
  </w:style>
  <w:style w:type="table" w:styleId="369">
    <w:name w:val="Обычная таблица"/>
    <w:next w:val="369"/>
    <w:link w:val="367"/>
    <w:semiHidden/>
    <w:tblPr/>
  </w:style>
  <w:style w:type="numbering" w:styleId="370">
    <w:name w:val="Нет списка"/>
    <w:next w:val="370"/>
    <w:link w:val="367"/>
    <w:semiHidden/>
  </w:style>
  <w:style w:type="paragraph" w:styleId="371">
    <w:name w:val="Текст выноски"/>
    <w:basedOn w:val="367"/>
    <w:next w:val="371"/>
    <w:link w:val="372"/>
    <w:rPr>
      <w:rFonts w:ascii="Segoe UI" w:hAnsi="Segoe UI"/>
      <w:sz w:val="18"/>
      <w:szCs w:val="18"/>
    </w:rPr>
  </w:style>
  <w:style w:type="character" w:styleId="372">
    <w:name w:val="Текст выноски Знак"/>
    <w:next w:val="372"/>
    <w:link w:val="371"/>
    <w:rPr>
      <w:rFonts w:ascii="Segoe UI" w:hAnsi="Segoe UI"/>
      <w:sz w:val="18"/>
      <w:szCs w:val="18"/>
    </w:rPr>
  </w:style>
  <w:style w:type="character" w:styleId="811" w:default="1">
    <w:name w:val="Default Paragraph Font"/>
    <w:uiPriority w:val="1"/>
    <w:semiHidden/>
    <w:unhideWhenUsed/>
  </w:style>
  <w:style w:type="numbering" w:styleId="812" w:default="1">
    <w:name w:val="No List"/>
    <w:uiPriority w:val="99"/>
    <w:semiHidden/>
    <w:unhideWhenUsed/>
  </w:style>
  <w:style w:type="paragraph" w:styleId="813" w:default="1">
    <w:name w:val="Normal"/>
    <w:qFormat/>
  </w:style>
  <w:style w:type="table" w:styleId="8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2020-01-15T10:54:04Z</dcterms:modified>
</cp:coreProperties>
</file>