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C6" w:rsidRDefault="00120CC6" w:rsidP="00120CC6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hAnsi="Open Sans"/>
          <w:caps/>
          <w:color w:val="134E6E"/>
          <w:kern w:val="36"/>
        </w:rPr>
        <w:t>Региональные операторы приступили к взысканию долгов за капремонт</w:t>
      </w:r>
      <w:bookmarkStart w:id="0" w:name="_GoBack"/>
      <w:bookmarkEnd w:id="0"/>
    </w:p>
    <w:p w:rsidR="00120CC6" w:rsidRDefault="00120CC6" w:rsidP="00120CC6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120CC6" w:rsidRPr="00120CC6" w:rsidRDefault="00120CC6" w:rsidP="00120CC6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судебной практике появились первые положительные примеры взыскания задолженности по взносам на капитальный ремонт в пользу региональных операторов.</w:t>
      </w:r>
    </w:p>
    <w:p w:rsidR="00120CC6" w:rsidRPr="00120CC6" w:rsidRDefault="00120CC6" w:rsidP="00120CC6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В Белгородской области апелляционная инстанция рассмотрела дело по иску регионального оператора к собственнику, имеющему задолженность по взносам на капремонт. Ответчик – физическое лицо не согласился с доводами, изложенными в исковом заявлении регионального оператора, заявив, что договор о формировании фонда капремонта и об организации проведения капремонта, предусмотренный ст.181 Жилищного кодекса РФ, не заключал и поэтому не считал обязанным платить взносы на капремонт региональному оператору. </w:t>
      </w:r>
      <w:proofErr w:type="gramStart"/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Суд апелляционной инстанции вынес определение о взыскании с ответчика задолженности по взносам на капремонт с учетом положений </w:t>
      </w:r>
      <w:proofErr w:type="spellStart"/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ст.ст</w:t>
      </w:r>
      <w:proofErr w:type="spellEnd"/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209, 249, 309 ГК РФ, руководствуясь тем, что «отсутствие договорных отношений между сторонами спора не может являться основанием освобождения ответчика, как собственника помещения, от обязанности уплаты указанного взноса и содержания общего имущества пропорционально своей доле, которая является следствием самого права собственности</w:t>
      </w:r>
      <w:proofErr w:type="gramEnd"/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и, как гражданско-правовое денежное обязательство, возникает в силу закона».</w:t>
      </w:r>
    </w:p>
    <w:p w:rsidR="00120CC6" w:rsidRPr="00120CC6" w:rsidRDefault="00120CC6" w:rsidP="00120CC6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Пензенской области судами вынесено 30 судебных приказов на сумму 133742,49 рублей в отношении собственников помещений – физических лиц и четыре судебных приказа на сумму 38033,46 рублей в отношении собственников помещений – юридических лиц (из них добровольно оплачено на сумму 22962,06 рублей).</w:t>
      </w:r>
    </w:p>
    <w:p w:rsidR="00120CC6" w:rsidRPr="00120CC6" w:rsidRDefault="00120CC6" w:rsidP="00120CC6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«С июня текущего года Региональный фонд капремонта многоквартирных домов Томской области также начнет процесс взыскания задолженности по взносам на капремонт общего имущества в многоквартирных домах. Напомню, что, в соответствии с требованиями статьи 98 ГПК РФ и статьи 110 АПК РФ, расходы по оплате госпошлины, понесенные Фондом при подаче искового заявления в суд, взыскиваются судом с ответчика – должника. А в случае отказа от добровольного исполнения вынесенных судом решений, взыскание долга будет осуществляться в установленном порядке Федеральной службой судебных приставов в порядке принудительного исполнения судебных решений», – сообщил генеральный директор Регионального фонда капитального ремонта многоквартирных домов Томской области Сергей </w:t>
      </w:r>
      <w:proofErr w:type="spellStart"/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Световец</w:t>
      </w:r>
      <w:proofErr w:type="spellEnd"/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</w:p>
    <w:p w:rsidR="00120CC6" w:rsidRPr="00120CC6" w:rsidRDefault="00120CC6" w:rsidP="00120CC6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120CC6" w:rsidRPr="00120CC6" w:rsidRDefault="00120CC6" w:rsidP="00120CC6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Для справки:</w:t>
      </w:r>
    </w:p>
    <w:p w:rsidR="00120CC6" w:rsidRPr="00120CC6" w:rsidRDefault="00120CC6" w:rsidP="00120CC6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Информацию о своей задолженности собственник помещения может узнать через «Личный кабинет» на сайте Регионального оператора пройдя процедуру регистрации.</w:t>
      </w:r>
    </w:p>
    <w:p w:rsidR="00120CC6" w:rsidRPr="00120CC6" w:rsidRDefault="00120CC6" w:rsidP="00120CC6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20CC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Информацию о сумме начислений и объеме задолженностей по каждому многоквартирному дому, включенному в региональную программу капитального ремонта в Томской области можно уточнить в рубрике «Собственнику жилья».</w:t>
      </w:r>
    </w:p>
    <w:p w:rsidR="005C7558" w:rsidRDefault="005C7558"/>
    <w:sectPr w:rsidR="005C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98"/>
    <w:rsid w:val="00120CC6"/>
    <w:rsid w:val="005C7558"/>
    <w:rsid w:val="00F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3</cp:revision>
  <dcterms:created xsi:type="dcterms:W3CDTF">2015-06-09T01:50:00Z</dcterms:created>
  <dcterms:modified xsi:type="dcterms:W3CDTF">2015-06-09T01:54:00Z</dcterms:modified>
</cp:coreProperties>
</file>